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0C7B0A">
        <w:rPr>
          <w:b w:val="0"/>
          <w:szCs w:val="28"/>
        </w:rPr>
        <w:t>29.12.</w:t>
      </w:r>
      <w:r w:rsidR="00BF29EE">
        <w:rPr>
          <w:b w:val="0"/>
          <w:szCs w:val="28"/>
        </w:rPr>
        <w:t>2017</w:t>
      </w:r>
      <w:r w:rsidR="006F7851">
        <w:rPr>
          <w:b w:val="0"/>
          <w:szCs w:val="28"/>
        </w:rPr>
        <w:t xml:space="preserve"> г.         № </w:t>
      </w:r>
      <w:r w:rsidR="000C7B0A">
        <w:rPr>
          <w:b w:val="0"/>
          <w:szCs w:val="28"/>
        </w:rPr>
        <w:t>246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2014-2019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E95069" w:rsidRPr="00E95069">
        <w:rPr>
          <w:b/>
          <w:i/>
          <w:sz w:val="28"/>
          <w:szCs w:val="28"/>
        </w:rPr>
        <w:t xml:space="preserve"> (в ред. постановления администрации Кал</w:t>
      </w:r>
      <w:r w:rsidR="007A778E">
        <w:rPr>
          <w:b/>
          <w:i/>
          <w:sz w:val="28"/>
          <w:szCs w:val="28"/>
        </w:rPr>
        <w:t xml:space="preserve">танского городского округа от  </w:t>
      </w:r>
      <w:r w:rsidR="00183486">
        <w:rPr>
          <w:b/>
          <w:i/>
          <w:sz w:val="28"/>
          <w:szCs w:val="28"/>
        </w:rPr>
        <w:t>14.11.</w:t>
      </w:r>
      <w:r w:rsidR="00E95069" w:rsidRPr="00E95069">
        <w:rPr>
          <w:b/>
          <w:i/>
          <w:sz w:val="28"/>
          <w:szCs w:val="28"/>
        </w:rPr>
        <w:t>201</w:t>
      </w:r>
      <w:r w:rsidR="00974F2A">
        <w:rPr>
          <w:b/>
          <w:i/>
          <w:sz w:val="28"/>
          <w:szCs w:val="28"/>
        </w:rPr>
        <w:t>7</w:t>
      </w:r>
      <w:r w:rsidR="00E95069" w:rsidRPr="00E95069">
        <w:rPr>
          <w:b/>
          <w:i/>
          <w:sz w:val="28"/>
          <w:szCs w:val="28"/>
        </w:rPr>
        <w:t xml:space="preserve"> г. № </w:t>
      </w:r>
      <w:r w:rsidR="00183486">
        <w:rPr>
          <w:b/>
          <w:i/>
          <w:sz w:val="28"/>
          <w:szCs w:val="28"/>
        </w:rPr>
        <w:t>197</w:t>
      </w:r>
      <w:r w:rsidR="00E95069" w:rsidRPr="00E95069">
        <w:rPr>
          <w:b/>
          <w:i/>
          <w:sz w:val="28"/>
          <w:szCs w:val="28"/>
        </w:rPr>
        <w:t>–п)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5A547B" w:rsidRDefault="009D1006" w:rsidP="009D10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547B">
        <w:rPr>
          <w:rFonts w:ascii="Times New Roman" w:eastAsia="Times New Roman" w:hAnsi="Times New Roman"/>
          <w:sz w:val="28"/>
          <w:szCs w:val="28"/>
        </w:rPr>
        <w:t>На основании постановлений администрации Калтанского городского округа от 10.10.2017г. №181-п «Об утверждении реестра муниципальных программ, рекомендуемых к финансированию в 2018 году и плановом периоде до 2020 года», от 08.08.2014г. №216-п «Об утверждении Положения о порядке разработки и реализации муниципальных программ Калтанского городского округа»:</w:t>
      </w:r>
    </w:p>
    <w:p w:rsidR="009D1006" w:rsidRDefault="00C15F28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В наименовании и текст муниципальной программы</w:t>
      </w:r>
      <w:r w:rsidR="009D1006" w:rsidRPr="00B4434B">
        <w:rPr>
          <w:sz w:val="28"/>
          <w:szCs w:val="28"/>
        </w:rPr>
        <w:t xml:space="preserve"> </w:t>
      </w:r>
      <w:r w:rsidRPr="009D1006">
        <w:rPr>
          <w:rFonts w:ascii="Times New Roman" w:eastAsia="Times New Roman" w:hAnsi="Times New Roman"/>
          <w:sz w:val="28"/>
          <w:szCs w:val="28"/>
        </w:rPr>
        <w:t>«Имущественный комплекс Калтанского го</w:t>
      </w:r>
      <w:r w:rsidR="00F402C6" w:rsidRPr="009D1006">
        <w:rPr>
          <w:rFonts w:ascii="Times New Roman" w:eastAsia="Times New Roman" w:hAnsi="Times New Roman"/>
          <w:sz w:val="28"/>
          <w:szCs w:val="28"/>
        </w:rPr>
        <w:t xml:space="preserve">родского округа» </w:t>
      </w:r>
      <w:r w:rsidR="009D1006">
        <w:rPr>
          <w:rFonts w:ascii="Times New Roman" w:eastAsia="Times New Roman" w:hAnsi="Times New Roman"/>
          <w:sz w:val="28"/>
          <w:szCs w:val="28"/>
        </w:rPr>
        <w:t xml:space="preserve">на 2014-2019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г.г. внести следующие изменения:</w:t>
      </w:r>
    </w:p>
    <w:p w:rsidR="00F525D5" w:rsidRDefault="00F525D5" w:rsidP="00A30CD3">
      <w:pPr>
        <w:pStyle w:val="a8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525D5">
        <w:rPr>
          <w:rFonts w:ascii="Times New Roman" w:eastAsia="Times New Roman" w:hAnsi="Times New Roman"/>
          <w:sz w:val="28"/>
          <w:szCs w:val="28"/>
        </w:rPr>
        <w:t xml:space="preserve"> Цифры «2014-2019» заменить цифрами «2014-2020».</w:t>
      </w:r>
    </w:p>
    <w:p w:rsidR="00F525D5" w:rsidRPr="005A547B" w:rsidRDefault="00F525D5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25D5">
        <w:rPr>
          <w:rFonts w:ascii="Times New Roman" w:eastAsia="Times New Roman" w:hAnsi="Times New Roman"/>
          <w:sz w:val="28"/>
          <w:szCs w:val="28"/>
        </w:rPr>
        <w:t xml:space="preserve"> Утвердить прилагаемую муниципальную программу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D1006">
        <w:rPr>
          <w:rFonts w:ascii="Times New Roman" w:eastAsia="Times New Roman" w:hAnsi="Times New Roman"/>
          <w:sz w:val="28"/>
          <w:szCs w:val="28"/>
        </w:rPr>
        <w:t xml:space="preserve">«Имущественный комплекс Калтанского городского округа» </w:t>
      </w:r>
      <w:r>
        <w:rPr>
          <w:rFonts w:ascii="Times New Roman" w:eastAsia="Times New Roman" w:hAnsi="Times New Roman"/>
          <w:sz w:val="28"/>
          <w:szCs w:val="28"/>
        </w:rPr>
        <w:t xml:space="preserve">на 2014-2019 </w:t>
      </w:r>
      <w:r w:rsidRPr="005A547B">
        <w:rPr>
          <w:rFonts w:ascii="Times New Roman" w:eastAsia="Times New Roman" w:hAnsi="Times New Roman"/>
          <w:sz w:val="28"/>
          <w:szCs w:val="28"/>
        </w:rPr>
        <w:t>г.г.</w:t>
      </w:r>
      <w:r w:rsidRPr="00F52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2014-2020 г.г., определив срок действия до 2020</w:t>
      </w:r>
      <w:r w:rsidR="005B2A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A30CD3" w:rsidRDefault="00C15F28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D3" w:rsidRPr="005A547B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 w:rsidR="00A30CD3"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="00A30CD3" w:rsidRPr="005A547B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A30CD3" w:rsidRPr="005A547B" w:rsidRDefault="00A30CD3" w:rsidP="00A3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47B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01.01.2018г.</w:t>
      </w:r>
    </w:p>
    <w:p w:rsidR="00C15F28" w:rsidRPr="00840D84" w:rsidRDefault="00C15F28" w:rsidP="00840D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0D84">
        <w:rPr>
          <w:rFonts w:ascii="Times New Roman" w:eastAsia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экономике (А.И. Горшкова).</w:t>
      </w: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0C7B0A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29.12.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2017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246-</w:t>
      </w:r>
      <w:bookmarkStart w:id="1" w:name="_GoBack"/>
      <w:bookmarkEnd w:id="1"/>
      <w:r w:rsidR="00FA0D67" w:rsidRPr="005102D3">
        <w:rPr>
          <w:rFonts w:eastAsiaTheme="minorEastAsia"/>
          <w:b w:val="0"/>
          <w:bCs w:val="0"/>
          <w:sz w:val="20"/>
          <w:szCs w:val="20"/>
        </w:rPr>
        <w:t>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F40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F402C6">
              <w:rPr>
                <w:b w:val="0"/>
                <w:sz w:val="22"/>
                <w:szCs w:val="22"/>
              </w:rPr>
              <w:t>20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2014-201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F402C6">
              <w:rPr>
                <w:rFonts w:eastAsiaTheme="minorEastAsia"/>
                <w:color w:val="FF0000"/>
                <w:sz w:val="22"/>
                <w:szCs w:val="22"/>
              </w:rPr>
              <w:t>71</w:t>
            </w:r>
            <w:r w:rsidR="00C603F1">
              <w:rPr>
                <w:rFonts w:eastAsiaTheme="minorEastAsia"/>
                <w:color w:val="FF0000"/>
                <w:sz w:val="22"/>
                <w:szCs w:val="22"/>
              </w:rPr>
              <w:t> 294,</w:t>
            </w:r>
            <w:r w:rsidR="00F402C6"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="00C603F1">
              <w:rPr>
                <w:rFonts w:eastAsiaTheme="minorEastAsia"/>
                <w:color w:val="FF0000"/>
                <w:sz w:val="22"/>
                <w:szCs w:val="22"/>
              </w:rPr>
              <w:t>1</w:t>
            </w:r>
            <w:r w:rsidR="00BF6B28">
              <w:rPr>
                <w:rFonts w:eastAsiaTheme="minorEastAsia"/>
                <w:color w:val="FF0000"/>
                <w:sz w:val="22"/>
                <w:szCs w:val="22"/>
              </w:rPr>
              <w:t>6</w:t>
            </w:r>
            <w:r w:rsidRPr="00FA0D67">
              <w:rPr>
                <w:rFonts w:eastAsiaTheme="minorEastAsia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-2014 г.- </w:t>
            </w:r>
            <w:r w:rsidR="00CD1DAE">
              <w:rPr>
                <w:rFonts w:eastAsiaTheme="minorEastAsia"/>
                <w:b w:val="0"/>
                <w:bCs w:val="0"/>
                <w:sz w:val="22"/>
                <w:szCs w:val="22"/>
              </w:rPr>
              <w:t>6 542,</w:t>
            </w:r>
            <w:r w:rsidR="004D638C"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-2015 г.-  </w:t>
            </w:r>
            <w:r w:rsidR="004D638C">
              <w:rPr>
                <w:rFonts w:eastAsiaTheme="minorEastAsia"/>
                <w:b w:val="0"/>
                <w:bCs w:val="0"/>
                <w:sz w:val="22"/>
                <w:szCs w:val="22"/>
              </w:rPr>
              <w:t>10 483,69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-2016 г.- </w:t>
            </w:r>
            <w:r w:rsidR="0073600F" w:rsidRPr="00974F2A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</w:t>
            </w:r>
          </w:p>
          <w:p w:rsid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-2017 г.- </w:t>
            </w:r>
            <w:r w:rsidR="00283B3E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15</w:t>
            </w:r>
            <w:r w:rsidR="00BF6B28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 424,54</w:t>
            </w:r>
            <w:r w:rsidR="00283B3E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  <w:p w:rsidR="00E046B1" w:rsidRPr="00283B3E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-2018 г</w:t>
            </w:r>
            <w:r w:rsidRPr="00AD7B2C">
              <w:rPr>
                <w:rFonts w:eastAsiaTheme="minorEastAsia"/>
                <w:b w:val="0"/>
                <w:bCs w:val="0"/>
                <w:sz w:val="22"/>
                <w:szCs w:val="22"/>
              </w:rPr>
              <w:t>.-</w:t>
            </w:r>
            <w:r w:rsidR="008B63AA"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  <w:r w:rsidR="00D719AB">
              <w:rPr>
                <w:rFonts w:eastAsiaTheme="minorEastAsia"/>
                <w:b w:val="0"/>
                <w:bCs w:val="0"/>
                <w:sz w:val="22"/>
                <w:szCs w:val="22"/>
              </w:rPr>
              <w:t> 969,3</w:t>
            </w:r>
            <w:r w:rsidR="00283B3E"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>тыс. рублей.</w:t>
            </w:r>
          </w:p>
          <w:p w:rsidR="00FA0D67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>-2019 г.-</w:t>
            </w:r>
            <w:r w:rsidR="00D719AB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8 969,3 </w:t>
            </w:r>
            <w:r w:rsidR="00E046B1"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тыс. рублей.</w:t>
            </w:r>
          </w:p>
          <w:p w:rsidR="00F402C6" w:rsidRPr="002907F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>-20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</w:t>
            </w:r>
            <w:r w:rsidRPr="00283B3E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г.-</w:t>
            </w:r>
            <w:r w:rsidR="00D719AB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8 969,3 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Default="00FA0D67" w:rsidP="00FA0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го городского округа на 2014-2020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F402C6">
        <w:rPr>
          <w:rFonts w:eastAsiaTheme="minorEastAsia"/>
          <w:b w:val="0"/>
          <w:bCs w:val="0"/>
          <w:sz w:val="28"/>
          <w:szCs w:val="28"/>
        </w:rPr>
        <w:t>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2E48A0" w:rsidRPr="00E10811" w:rsidRDefault="002E48A0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F402C6">
        <w:rPr>
          <w:rFonts w:eastAsiaTheme="minorEastAsia"/>
          <w:b w:val="0"/>
          <w:bCs w:val="0"/>
          <w:color w:val="FF0000"/>
          <w:sz w:val="28"/>
          <w:szCs w:val="28"/>
        </w:rPr>
        <w:t>71</w:t>
      </w:r>
      <w:r w:rsidR="00D719AB">
        <w:rPr>
          <w:rFonts w:eastAsiaTheme="minorEastAsia"/>
          <w:b w:val="0"/>
          <w:bCs w:val="0"/>
          <w:color w:val="FF0000"/>
          <w:sz w:val="28"/>
          <w:szCs w:val="28"/>
        </w:rPr>
        <w:t> 366,4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тыс. рублей, в том числе  по годам:-2014 г.- </w:t>
      </w:r>
      <w:r w:rsidR="009A71B1">
        <w:rPr>
          <w:rFonts w:eastAsiaTheme="minorEastAsia"/>
          <w:b w:val="0"/>
          <w:bCs w:val="0"/>
          <w:sz w:val="28"/>
          <w:szCs w:val="28"/>
        </w:rPr>
        <w:t>6 542,29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-2015 г.-  </w:t>
      </w:r>
      <w:r w:rsidR="009A71B1">
        <w:rPr>
          <w:rFonts w:eastAsiaTheme="minorEastAsia"/>
          <w:b w:val="0"/>
          <w:bCs w:val="0"/>
          <w:sz w:val="28"/>
          <w:szCs w:val="28"/>
        </w:rPr>
        <w:t>10 483,69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-2016 г.- </w:t>
      </w:r>
      <w:r w:rsidR="00F97BEC" w:rsidRPr="00974F2A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283B3E">
        <w:rPr>
          <w:rFonts w:eastAsiaTheme="minorEastAsia"/>
          <w:b w:val="0"/>
          <w:bCs w:val="0"/>
          <w:color w:val="FF0000"/>
          <w:sz w:val="28"/>
          <w:szCs w:val="28"/>
        </w:rPr>
        <w:t>15</w:t>
      </w:r>
      <w:r w:rsidR="00BF6B28">
        <w:rPr>
          <w:rFonts w:eastAsiaTheme="minorEastAsia"/>
          <w:b w:val="0"/>
          <w:bCs w:val="0"/>
          <w:color w:val="FF0000"/>
          <w:sz w:val="28"/>
          <w:szCs w:val="28"/>
        </w:rPr>
        <w:t> 424,54</w:t>
      </w:r>
      <w:r w:rsidR="00283B3E">
        <w:rPr>
          <w:rFonts w:eastAsiaTheme="minorEastAsia"/>
          <w:b w:val="0"/>
          <w:bCs w:val="0"/>
          <w:color w:val="FF0000"/>
          <w:sz w:val="28"/>
          <w:szCs w:val="28"/>
        </w:rPr>
        <w:t xml:space="preserve"> </w:t>
      </w:r>
      <w:r w:rsidRPr="00675BD0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675BD0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75BD0">
        <w:t xml:space="preserve">               </w:t>
      </w:r>
      <w:r w:rsidRPr="00675BD0">
        <w:rPr>
          <w:rFonts w:ascii="Times New Roman" w:hAnsi="Times New Roman" w:cs="Times New Roman"/>
        </w:rPr>
        <w:t>-</w:t>
      </w:r>
      <w:r w:rsidRPr="00675BD0">
        <w:rPr>
          <w:rFonts w:ascii="Times New Roman" w:hAnsi="Times New Roman" w:cs="Times New Roman"/>
          <w:sz w:val="28"/>
          <w:szCs w:val="28"/>
        </w:rPr>
        <w:t>2018</w:t>
      </w:r>
      <w:r w:rsidRPr="00675BD0">
        <w:rPr>
          <w:rFonts w:ascii="Times New Roman" w:hAnsi="Times New Roman" w:cs="Times New Roman"/>
          <w:bCs/>
          <w:sz w:val="28"/>
          <w:szCs w:val="28"/>
        </w:rPr>
        <w:t xml:space="preserve"> г.- </w:t>
      </w:r>
      <w:r w:rsidR="008B63AA">
        <w:rPr>
          <w:rFonts w:ascii="Times New Roman" w:hAnsi="Times New Roman" w:cs="Times New Roman"/>
          <w:bCs/>
          <w:sz w:val="28"/>
          <w:szCs w:val="28"/>
        </w:rPr>
        <w:t>8</w:t>
      </w:r>
      <w:r w:rsidR="00D719AB">
        <w:rPr>
          <w:rFonts w:ascii="Times New Roman" w:hAnsi="Times New Roman" w:cs="Times New Roman"/>
          <w:bCs/>
          <w:sz w:val="28"/>
          <w:szCs w:val="28"/>
        </w:rPr>
        <w:t> 969,3</w:t>
      </w:r>
      <w:r w:rsidRPr="00675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75BD0">
        <w:rPr>
          <w:sz w:val="28"/>
          <w:szCs w:val="28"/>
        </w:rPr>
        <w:t>.</w:t>
      </w:r>
    </w:p>
    <w:p w:rsidR="00FD2247" w:rsidRPr="00D719AB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FD224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D094C" w:rsidRPr="00FD2247">
        <w:rPr>
          <w:rFonts w:eastAsiaTheme="minorEastAsia"/>
          <w:b w:val="0"/>
          <w:bCs w:val="0"/>
          <w:sz w:val="28"/>
          <w:szCs w:val="28"/>
        </w:rPr>
        <w:t xml:space="preserve">- 2019 г. </w:t>
      </w:r>
      <w:r w:rsidR="00283B3E" w:rsidRPr="00D719AB">
        <w:rPr>
          <w:rFonts w:eastAsiaTheme="minorEastAsia"/>
          <w:b w:val="0"/>
          <w:bCs w:val="0"/>
          <w:sz w:val="28"/>
          <w:szCs w:val="28"/>
        </w:rPr>
        <w:t>–</w:t>
      </w:r>
      <w:r w:rsidR="00B44448" w:rsidRPr="00D719AB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D719AB" w:rsidRPr="00D719AB">
        <w:rPr>
          <w:b w:val="0"/>
          <w:sz w:val="28"/>
          <w:szCs w:val="28"/>
        </w:rPr>
        <w:t>8</w:t>
      </w:r>
      <w:r w:rsidR="00D719AB" w:rsidRPr="00D719AB">
        <w:rPr>
          <w:b w:val="0"/>
          <w:bCs w:val="0"/>
          <w:sz w:val="28"/>
          <w:szCs w:val="28"/>
        </w:rPr>
        <w:t> 969,3</w:t>
      </w:r>
      <w:r w:rsidR="00D719AB" w:rsidRPr="00D719AB">
        <w:rPr>
          <w:b w:val="0"/>
          <w:sz w:val="28"/>
          <w:szCs w:val="28"/>
        </w:rPr>
        <w:t xml:space="preserve"> </w:t>
      </w:r>
      <w:r w:rsidRPr="00D719AB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402C6" w:rsidRPr="00FD2247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719AB">
        <w:rPr>
          <w:rFonts w:eastAsiaTheme="minorEastAsia"/>
          <w:b w:val="0"/>
          <w:bCs w:val="0"/>
          <w:sz w:val="28"/>
          <w:szCs w:val="28"/>
        </w:rPr>
        <w:t xml:space="preserve">- 2020 г. – </w:t>
      </w:r>
      <w:r w:rsidR="00D719AB" w:rsidRPr="00D719AB">
        <w:rPr>
          <w:b w:val="0"/>
          <w:sz w:val="28"/>
          <w:szCs w:val="28"/>
        </w:rPr>
        <w:t>8</w:t>
      </w:r>
      <w:r w:rsidR="00D719AB" w:rsidRPr="00D719AB">
        <w:rPr>
          <w:b w:val="0"/>
          <w:bCs w:val="0"/>
          <w:sz w:val="28"/>
          <w:szCs w:val="28"/>
        </w:rPr>
        <w:t> 969,3</w:t>
      </w:r>
      <w:r w:rsidR="00D719AB" w:rsidRPr="00675BD0">
        <w:rPr>
          <w:sz w:val="28"/>
          <w:szCs w:val="28"/>
        </w:rPr>
        <w:t xml:space="preserve"> </w:t>
      </w:r>
      <w:r w:rsidRPr="00FD2247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FD2247" w:rsidRDefault="00FA0D67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FD2247">
        <w:rPr>
          <w:rFonts w:eastAsiaTheme="minorEastAsia"/>
          <w:bCs w:val="0"/>
          <w:sz w:val="28"/>
          <w:szCs w:val="28"/>
        </w:rPr>
        <w:t>5. Оценка эффективности и прогноз результатов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1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24"/>
        <w:gridCol w:w="874"/>
        <w:gridCol w:w="1116"/>
        <w:gridCol w:w="1116"/>
        <w:gridCol w:w="591"/>
        <w:gridCol w:w="557"/>
        <w:gridCol w:w="1037"/>
        <w:gridCol w:w="1896"/>
      </w:tblGrid>
      <w:tr w:rsidR="00D719AB" w:rsidRPr="00D719AB" w:rsidTr="00100BF2">
        <w:trPr>
          <w:trHeight w:val="585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RANGE!A1:I209"/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  <w:bookmarkEnd w:id="2"/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Сроки </w:t>
            </w:r>
            <w:proofErr w:type="spellStart"/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4417" w:type="dxa"/>
            <w:gridSpan w:val="5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 (тыс. руб.)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 программных мероприятий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нения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01" w:type="dxa"/>
            <w:gridSpan w:val="4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1035"/>
        </w:trPr>
        <w:tc>
          <w:tcPr>
            <w:tcW w:w="993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9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91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37" w:type="dxa"/>
            <w:shd w:val="clear" w:color="auto" w:fill="auto"/>
            <w:textDirection w:val="btLr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19AB" w:rsidRPr="00D719AB" w:rsidTr="00100BF2">
        <w:trPr>
          <w:trHeight w:val="375"/>
        </w:trPr>
        <w:tc>
          <w:tcPr>
            <w:tcW w:w="993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«Имущественный комплекс Калтанского городского округа»</w:t>
            </w:r>
          </w:p>
        </w:tc>
      </w:tr>
      <w:tr w:rsidR="00100BF2" w:rsidRPr="00D719AB" w:rsidTr="00100BF2">
        <w:trPr>
          <w:trHeight w:val="746"/>
        </w:trPr>
        <w:tc>
          <w:tcPr>
            <w:tcW w:w="993" w:type="dxa"/>
            <w:shd w:val="clear" w:color="auto" w:fill="auto"/>
            <w:hideMark/>
          </w:tcPr>
          <w:p w:rsidR="00100BF2" w:rsidRPr="00D719AB" w:rsidRDefault="00100BF2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11" w:type="dxa"/>
            <w:gridSpan w:val="8"/>
            <w:shd w:val="clear" w:color="auto" w:fill="auto"/>
            <w:noWrap/>
            <w:vAlign w:val="bottom"/>
            <w:hideMark/>
          </w:tcPr>
          <w:p w:rsidR="00100BF2" w:rsidRPr="00D719AB" w:rsidRDefault="00100BF2" w:rsidP="0010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D719AB" w:rsidRDefault="00D719AB" w:rsidP="00D7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 подпрограммы: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1.1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5247,24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5247,24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«Укрепление материально- технической базы»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3267,49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3267,49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3019,414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3019,414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7773,66</w:t>
            </w:r>
          </w:p>
        </w:tc>
        <w:tc>
          <w:tcPr>
            <w:tcW w:w="1116" w:type="dxa"/>
            <w:shd w:val="clear" w:color="000000" w:fill="FDE9D9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7773,66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0BF2" w:rsidRPr="00D719AB" w:rsidTr="00100BF2">
        <w:trPr>
          <w:trHeight w:val="345"/>
        </w:trPr>
        <w:tc>
          <w:tcPr>
            <w:tcW w:w="993" w:type="dxa"/>
            <w:vMerge/>
            <w:vAlign w:val="center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6" w:type="dxa"/>
            <w:shd w:val="clear" w:color="000000" w:fill="EAF1DD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100BF2" w:rsidRPr="009C5338" w:rsidRDefault="00100BF2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81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75,79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75,79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Прокладка телефонной линии к зданию: ул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72,27</w:t>
            </w:r>
          </w:p>
        </w:tc>
        <w:tc>
          <w:tcPr>
            <w:tcW w:w="111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72,27</w:t>
            </w:r>
          </w:p>
        </w:tc>
        <w:tc>
          <w:tcPr>
            <w:tcW w:w="591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694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97,62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97,62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481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929,95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929,95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165,53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165,53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766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"Архив КГО"</w:t>
            </w:r>
          </w:p>
        </w:tc>
      </w:tr>
      <w:tr w:rsidR="00D719AB" w:rsidRPr="00D719AB" w:rsidTr="00100BF2">
        <w:trPr>
          <w:trHeight w:val="64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287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D719AB" w:rsidRPr="00D719AB" w:rsidTr="00100BF2">
        <w:trPr>
          <w:trHeight w:val="93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80,34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80,34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D719AB" w:rsidRPr="00D719AB" w:rsidTr="00100BF2">
        <w:trPr>
          <w:trHeight w:val="1299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40,08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40,08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32,46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32,46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2522,5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2522,5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246,87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246,87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19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76,75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76,75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12,65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12,65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0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1.1.19.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89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2390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2390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143,63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143,63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983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5,42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5,42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Строительство стелы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176,45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75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Строительство фундамента под стелу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43,28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43,28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Строительство ограды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45,83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45,83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1167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D719AB" w:rsidRPr="00D719AB" w:rsidTr="009C5338">
        <w:trPr>
          <w:trHeight w:val="1141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318,08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318,08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166,17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166,17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1682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1.1.29.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482,94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482,94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D719AB" w:rsidRPr="00D719AB" w:rsidTr="009C5338">
        <w:trPr>
          <w:trHeight w:val="1412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687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389,6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389,6</w:t>
            </w:r>
          </w:p>
        </w:tc>
        <w:tc>
          <w:tcPr>
            <w:tcW w:w="591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Элга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-Сибирь»</w:t>
            </w:r>
          </w:p>
        </w:tc>
        <w:tc>
          <w:tcPr>
            <w:tcW w:w="87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137,504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137,504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9C5338">
        <w:trPr>
          <w:trHeight w:val="77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1.1.39.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Бизнесс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-инкубатор</w:t>
            </w:r>
          </w:p>
        </w:tc>
      </w:tr>
      <w:tr w:rsidR="00D719AB" w:rsidRPr="00D719AB" w:rsidTr="00100BF2">
        <w:trPr>
          <w:trHeight w:val="253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9C5338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2888,02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2888,02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1.1.49.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9C533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C5338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12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1.1.50.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МАУ «МФЦ КГО» 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1.1.51.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МАУ «МФЦ КГО» </w:t>
            </w:r>
          </w:p>
        </w:tc>
      </w:tr>
      <w:tr w:rsidR="00D719AB" w:rsidRPr="00D719AB" w:rsidTr="009C5338">
        <w:trPr>
          <w:trHeight w:val="76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1.1.52.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МАУ «МФЦ КГО» 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МКУ УМП и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КГО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МКУ УМП и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КГО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МКУ УМП и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КГО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2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Yamaha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1.1.58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1.1.59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Светодиодная мини голова света DMX512 16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channels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95w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9C5338">
        <w:trPr>
          <w:trHeight w:val="1479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Активная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двухполостная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9C5338">
        <w:trPr>
          <w:trHeight w:val="1698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Активный сабвуфер RCF SUB708-AS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деревян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. корпус600*445*600 усилитель D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1000В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Микшерный пульт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Yamaha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 MGP 16X 8-10мик/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. моно+4стерео 2AUX,4GROUP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lastRenderedPageBreak/>
              <w:t>1.1.64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Стойка 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Телескопическая стальная труба для установки сателлита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Euromet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HK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57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1.1.65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Активная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двухполостная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189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Активный сабвуфер RCF SUB708-AS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деревян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. корпус600*445*600 усилитель </w:t>
            </w:r>
            <w:proofErr w:type="spellStart"/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1000В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Свет</w:t>
            </w:r>
            <w:r w:rsidRPr="009C53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LED RGBWA +UV 6in1 18*18 </w:t>
            </w: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Контроллер управления светом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Сарбала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Скульптура "Медведь"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Проектор "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Acer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Экран для проектора "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Acer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Крепление для проектора "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Acer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МБУ ДК «Прогресс»</w:t>
            </w:r>
          </w:p>
        </w:tc>
      </w:tr>
      <w:tr w:rsidR="00D719AB" w:rsidRPr="00D719AB" w:rsidTr="00100BF2">
        <w:trPr>
          <w:trHeight w:val="63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люфтомер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ИСЛ-М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102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9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315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lastRenderedPageBreak/>
              <w:t>1.1.78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Приобретение запасных частей (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коленвал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, гильза,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маслозбойник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омпл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Вкладышей, главный цилиндр, </w:t>
            </w:r>
            <w:proofErr w:type="spellStart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9C5338">
              <w:rPr>
                <w:rFonts w:ascii="Times New Roman" w:eastAsia="Times New Roman" w:hAnsi="Times New Roman" w:cs="Times New Roman"/>
                <w:color w:val="000000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1.1.79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1525,38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1525,38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403,39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403,39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1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344,55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344,55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313,55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313,55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1525,38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1525,38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403,39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403,39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289,29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571,75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571,75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562,43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562,43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92,88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92,88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289,29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289,29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571,75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571,75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562,43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562,43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891,6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857,62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470,9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470,9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229,59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229,59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226,45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847,62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847,62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МБУ КГО «ГЦ»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470,9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470,9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229,59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229,59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226,45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226,45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645"/>
        </w:trPr>
        <w:tc>
          <w:tcPr>
            <w:tcW w:w="993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668,1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4 341,23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4 341,23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5 346,13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5 346,13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8 965,93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8 965,93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2 363,70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11" w:type="dxa"/>
            <w:gridSpan w:val="8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6558,61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6458,61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4146,03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4146,03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4271,52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4271,52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4135,72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4135,72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4301,1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645,83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645,83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1248,98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1248,98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1298,98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377,95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377,95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425,35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425,35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693,31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693,31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509,6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1614,88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1614,88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1319,2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1319,2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380,6</w:t>
            </w:r>
          </w:p>
        </w:tc>
        <w:tc>
          <w:tcPr>
            <w:tcW w:w="1116" w:type="dxa"/>
            <w:shd w:val="clear" w:color="000000" w:fill="FDE9D9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380,6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395,9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Транспортные расходы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6" w:type="dxa"/>
            <w:shd w:val="clear" w:color="000000" w:fill="EAF1DD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6142,46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6661,9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6458,61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6458,61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6605,58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 w:val="restart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6 542,29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 w:val="restart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10 483,69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10 483,69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12 008,03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12 008,03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15 424,54</w:t>
            </w:r>
          </w:p>
        </w:tc>
        <w:tc>
          <w:tcPr>
            <w:tcW w:w="1116" w:type="dxa"/>
            <w:shd w:val="clear" w:color="000000" w:fill="FDE9D9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15 424,54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330"/>
        </w:trPr>
        <w:tc>
          <w:tcPr>
            <w:tcW w:w="993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1116" w:type="dxa"/>
            <w:shd w:val="clear" w:color="000000" w:fill="EAF1DD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8 969,3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6" w:type="dxa"/>
            <w:vMerge/>
            <w:vAlign w:val="center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19AB" w:rsidRPr="00D719AB" w:rsidTr="00100BF2">
        <w:trPr>
          <w:trHeight w:val="960"/>
        </w:trPr>
        <w:tc>
          <w:tcPr>
            <w:tcW w:w="993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</w:rPr>
              <w:t>ВСЕГО ПО ПРОГРАММЕ (2014-2020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71 366,40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53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71 366,40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shd w:val="clear" w:color="auto" w:fill="auto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D719AB" w:rsidRPr="009C5338" w:rsidRDefault="00D719AB" w:rsidP="009C53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3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D263A" w:rsidRDefault="00BD263A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8575F6" w:rsidRPr="00E10811" w:rsidRDefault="008575F6" w:rsidP="008C7B95">
      <w:pPr>
        <w:rPr>
          <w:b/>
          <w:bCs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12AD5"/>
    <w:multiLevelType w:val="multilevel"/>
    <w:tmpl w:val="BCA8F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6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9B1"/>
    <w:rsid w:val="000B1D74"/>
    <w:rsid w:val="000C7B0A"/>
    <w:rsid w:val="000D091D"/>
    <w:rsid w:val="000D094C"/>
    <w:rsid w:val="000D2A5D"/>
    <w:rsid w:val="000D5028"/>
    <w:rsid w:val="000E68FF"/>
    <w:rsid w:val="00100BF2"/>
    <w:rsid w:val="0012303C"/>
    <w:rsid w:val="00126044"/>
    <w:rsid w:val="00137A9E"/>
    <w:rsid w:val="00137E4A"/>
    <w:rsid w:val="0014171D"/>
    <w:rsid w:val="00141ACB"/>
    <w:rsid w:val="00141CA9"/>
    <w:rsid w:val="0014487B"/>
    <w:rsid w:val="0015584C"/>
    <w:rsid w:val="00164C0E"/>
    <w:rsid w:val="00176001"/>
    <w:rsid w:val="00183486"/>
    <w:rsid w:val="001879B2"/>
    <w:rsid w:val="0019533A"/>
    <w:rsid w:val="001A09D9"/>
    <w:rsid w:val="001A1FD2"/>
    <w:rsid w:val="001A7138"/>
    <w:rsid w:val="001B0A70"/>
    <w:rsid w:val="001C0D82"/>
    <w:rsid w:val="001D59CB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907F6"/>
    <w:rsid w:val="00294880"/>
    <w:rsid w:val="00296693"/>
    <w:rsid w:val="00297F93"/>
    <w:rsid w:val="002B68DB"/>
    <w:rsid w:val="002D175A"/>
    <w:rsid w:val="002D63EB"/>
    <w:rsid w:val="002E1464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920"/>
    <w:rsid w:val="003C76F9"/>
    <w:rsid w:val="003D4639"/>
    <w:rsid w:val="003D57C9"/>
    <w:rsid w:val="003E0744"/>
    <w:rsid w:val="003E254A"/>
    <w:rsid w:val="003E6A04"/>
    <w:rsid w:val="0041578B"/>
    <w:rsid w:val="00424F51"/>
    <w:rsid w:val="0046645D"/>
    <w:rsid w:val="00481E9A"/>
    <w:rsid w:val="00481F40"/>
    <w:rsid w:val="00485F73"/>
    <w:rsid w:val="00487B2A"/>
    <w:rsid w:val="0049094C"/>
    <w:rsid w:val="004932DF"/>
    <w:rsid w:val="004C299E"/>
    <w:rsid w:val="004D638C"/>
    <w:rsid w:val="004E193B"/>
    <w:rsid w:val="004E2988"/>
    <w:rsid w:val="004E62AD"/>
    <w:rsid w:val="004F21D1"/>
    <w:rsid w:val="005102D3"/>
    <w:rsid w:val="005136F8"/>
    <w:rsid w:val="00525D6B"/>
    <w:rsid w:val="00533774"/>
    <w:rsid w:val="00544277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670D"/>
    <w:rsid w:val="006652BB"/>
    <w:rsid w:val="00675BD0"/>
    <w:rsid w:val="006828EA"/>
    <w:rsid w:val="006A2B03"/>
    <w:rsid w:val="006B0161"/>
    <w:rsid w:val="006B39E7"/>
    <w:rsid w:val="006B667A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EC9"/>
    <w:rsid w:val="00797BE0"/>
    <w:rsid w:val="007A778E"/>
    <w:rsid w:val="007B59E8"/>
    <w:rsid w:val="007C3D02"/>
    <w:rsid w:val="007C73E3"/>
    <w:rsid w:val="007D142F"/>
    <w:rsid w:val="007D1BEA"/>
    <w:rsid w:val="007D6AAE"/>
    <w:rsid w:val="007E3F81"/>
    <w:rsid w:val="007F1395"/>
    <w:rsid w:val="007F24C9"/>
    <w:rsid w:val="007F479E"/>
    <w:rsid w:val="0080083E"/>
    <w:rsid w:val="00800A83"/>
    <w:rsid w:val="008201CE"/>
    <w:rsid w:val="008251F6"/>
    <w:rsid w:val="00833997"/>
    <w:rsid w:val="00835F3C"/>
    <w:rsid w:val="00840D84"/>
    <w:rsid w:val="00842ABE"/>
    <w:rsid w:val="00846C62"/>
    <w:rsid w:val="008575F6"/>
    <w:rsid w:val="0085799E"/>
    <w:rsid w:val="00857DC2"/>
    <w:rsid w:val="00860EE2"/>
    <w:rsid w:val="00871059"/>
    <w:rsid w:val="0087733F"/>
    <w:rsid w:val="00893302"/>
    <w:rsid w:val="00895059"/>
    <w:rsid w:val="00895216"/>
    <w:rsid w:val="008B63AA"/>
    <w:rsid w:val="008C7B95"/>
    <w:rsid w:val="008F07D6"/>
    <w:rsid w:val="008F5E26"/>
    <w:rsid w:val="00900E79"/>
    <w:rsid w:val="00903745"/>
    <w:rsid w:val="00906FBA"/>
    <w:rsid w:val="009112F1"/>
    <w:rsid w:val="009131BD"/>
    <w:rsid w:val="00913501"/>
    <w:rsid w:val="00926475"/>
    <w:rsid w:val="00930DEC"/>
    <w:rsid w:val="009369F7"/>
    <w:rsid w:val="00944542"/>
    <w:rsid w:val="009517C0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20C76"/>
    <w:rsid w:val="00A235CC"/>
    <w:rsid w:val="00A30CD3"/>
    <w:rsid w:val="00A42191"/>
    <w:rsid w:val="00A42BFA"/>
    <w:rsid w:val="00A43104"/>
    <w:rsid w:val="00A44DC8"/>
    <w:rsid w:val="00A70CDC"/>
    <w:rsid w:val="00A72E9E"/>
    <w:rsid w:val="00A83D67"/>
    <w:rsid w:val="00A87627"/>
    <w:rsid w:val="00AB4A5B"/>
    <w:rsid w:val="00AC1A1A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30C99"/>
    <w:rsid w:val="00B33528"/>
    <w:rsid w:val="00B3545D"/>
    <w:rsid w:val="00B35FA1"/>
    <w:rsid w:val="00B43BE8"/>
    <w:rsid w:val="00B4434B"/>
    <w:rsid w:val="00B44448"/>
    <w:rsid w:val="00B457DA"/>
    <w:rsid w:val="00B668AC"/>
    <w:rsid w:val="00B7129B"/>
    <w:rsid w:val="00BA1BCE"/>
    <w:rsid w:val="00BA77C5"/>
    <w:rsid w:val="00BC0E8A"/>
    <w:rsid w:val="00BC2067"/>
    <w:rsid w:val="00BD263A"/>
    <w:rsid w:val="00BD3B7A"/>
    <w:rsid w:val="00BF03E8"/>
    <w:rsid w:val="00BF29EE"/>
    <w:rsid w:val="00BF6B28"/>
    <w:rsid w:val="00C040E3"/>
    <w:rsid w:val="00C15F28"/>
    <w:rsid w:val="00C3219D"/>
    <w:rsid w:val="00C44F56"/>
    <w:rsid w:val="00C53D2C"/>
    <w:rsid w:val="00C60265"/>
    <w:rsid w:val="00C603F1"/>
    <w:rsid w:val="00C678FA"/>
    <w:rsid w:val="00C9392F"/>
    <w:rsid w:val="00CA70A0"/>
    <w:rsid w:val="00CB3260"/>
    <w:rsid w:val="00CD1DAE"/>
    <w:rsid w:val="00CD752D"/>
    <w:rsid w:val="00CE31B8"/>
    <w:rsid w:val="00CE5A16"/>
    <w:rsid w:val="00CF0FEC"/>
    <w:rsid w:val="00CF76AE"/>
    <w:rsid w:val="00CF7742"/>
    <w:rsid w:val="00D03A82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7CE"/>
    <w:rsid w:val="00E046B1"/>
    <w:rsid w:val="00E10811"/>
    <w:rsid w:val="00E3298F"/>
    <w:rsid w:val="00E3754E"/>
    <w:rsid w:val="00E630C9"/>
    <w:rsid w:val="00E70E2F"/>
    <w:rsid w:val="00E87311"/>
    <w:rsid w:val="00E91B2A"/>
    <w:rsid w:val="00E95069"/>
    <w:rsid w:val="00EA220A"/>
    <w:rsid w:val="00EA4677"/>
    <w:rsid w:val="00EF1AC8"/>
    <w:rsid w:val="00EF49F5"/>
    <w:rsid w:val="00F04505"/>
    <w:rsid w:val="00F050D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6343"/>
    <w:rsid w:val="00F87580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DA69-10A7-43CA-9840-2BFB446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3870</Words>
  <Characters>22059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Svetlana</cp:lastModifiedBy>
  <cp:revision>2</cp:revision>
  <cp:lastPrinted>2018-01-09T08:39:00Z</cp:lastPrinted>
  <dcterms:created xsi:type="dcterms:W3CDTF">2018-01-10T08:57:00Z</dcterms:created>
  <dcterms:modified xsi:type="dcterms:W3CDTF">2018-01-10T08:57:00Z</dcterms:modified>
</cp:coreProperties>
</file>