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7" w:rsidRPr="004A1201" w:rsidRDefault="00683E17" w:rsidP="00683E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7535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E17" w:rsidRPr="004A1201" w:rsidRDefault="00683E17" w:rsidP="00683E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683E17" w:rsidRPr="004A1201" w:rsidRDefault="00683E17" w:rsidP="00683E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КАЛТАНСКИЙ ГОРОДСКОЙ ОКРУГ</w:t>
      </w:r>
    </w:p>
    <w:p w:rsidR="00683E17" w:rsidRPr="004A1201" w:rsidRDefault="00683E17" w:rsidP="00683E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КАЛТАНСКОГО ГОРОДСКОГО ОКРУГА</w:t>
      </w:r>
    </w:p>
    <w:p w:rsidR="00683E17" w:rsidRPr="004A1201" w:rsidRDefault="00683E17" w:rsidP="0068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E17" w:rsidRPr="004A1201" w:rsidRDefault="00683E17" w:rsidP="00683E17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4A1201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ПОСТАНОВЛЕНИЕ</w:t>
      </w:r>
    </w:p>
    <w:p w:rsidR="00683E17" w:rsidRPr="004A1201" w:rsidRDefault="00683E17" w:rsidP="00683E17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83E17" w:rsidRPr="004A1201" w:rsidRDefault="00683E17" w:rsidP="00683E17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1DBD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Pr="004A120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55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01DBD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4A120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83E17" w:rsidRPr="004A1201" w:rsidRDefault="00683E17" w:rsidP="00683E17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32" w:rsidRPr="005D296C" w:rsidRDefault="006244D4" w:rsidP="00E8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ждении Положения </w:t>
      </w:r>
      <w:r w:rsidR="00816232" w:rsidRPr="005D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учете объектов незавершенного строительства, при строительстве которых были использованы средства всех уровней бюджетной системы Российской Федерации, состоящих на балансе </w:t>
      </w:r>
      <w:r w:rsidR="006F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1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Калтанского городского округа, </w:t>
      </w:r>
      <w:r w:rsidR="00816232" w:rsidRPr="005D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казенных, бюджетных и автономных учреждений, </w:t>
      </w:r>
      <w:r w:rsidR="00343EDF" w:rsidRPr="0034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унитарных предприятий, </w:t>
      </w:r>
      <w:r w:rsidR="00816232" w:rsidRPr="005D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в ведении </w:t>
      </w:r>
      <w:r w:rsidR="00343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1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Калтанского городского округа</w:t>
      </w:r>
    </w:p>
    <w:p w:rsidR="00C1031F" w:rsidRDefault="00C1031F" w:rsidP="00816232">
      <w:pPr>
        <w:spacing w:after="0" w:line="240" w:lineRule="auto"/>
        <w:jc w:val="center"/>
      </w:pPr>
    </w:p>
    <w:p w:rsidR="006244D4" w:rsidRPr="006244D4" w:rsidRDefault="00683E17" w:rsidP="003E432D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E17">
        <w:rPr>
          <w:rFonts w:ascii="Times New Roman" w:hAnsi="Times New Roman" w:cs="Times New Roman"/>
          <w:sz w:val="28"/>
          <w:szCs w:val="28"/>
        </w:rPr>
        <w:t>В целях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порядка учета объектов, </w:t>
      </w:r>
      <w:r w:rsidR="00816232" w:rsidRPr="00816232">
        <w:rPr>
          <w:rFonts w:ascii="Times New Roman" w:hAnsi="Times New Roman" w:cs="Times New Roman"/>
          <w:sz w:val="28"/>
          <w:szCs w:val="28"/>
        </w:rPr>
        <w:t xml:space="preserve">при строительстве которых были использованы средства всех уровней бюджетной системы Российской Федерации, состоящих на балансе </w:t>
      </w:r>
      <w:r w:rsidR="006F0260">
        <w:rPr>
          <w:rFonts w:ascii="Times New Roman" w:hAnsi="Times New Roman" w:cs="Times New Roman"/>
          <w:sz w:val="28"/>
          <w:szCs w:val="28"/>
        </w:rPr>
        <w:t>а</w:t>
      </w:r>
      <w:r w:rsidR="00816232" w:rsidRPr="00816232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="00E83F4C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</w:t>
      </w:r>
      <w:r w:rsidR="006F0260"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="00816232" w:rsidRPr="00816232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  <w:r w:rsidR="006244D4">
        <w:rPr>
          <w:rFonts w:ascii="Times New Roman" w:hAnsi="Times New Roman" w:cs="Times New Roman"/>
          <w:sz w:val="28"/>
          <w:szCs w:val="28"/>
        </w:rPr>
        <w:t xml:space="preserve">, </w:t>
      </w:r>
      <w:r w:rsidR="006244D4" w:rsidRPr="006244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6244D4" w:rsidRPr="006244D4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="006244D4" w:rsidRPr="006244D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6244D4" w:rsidRPr="006244D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E83F4C">
        <w:rPr>
          <w:rFonts w:ascii="Times New Roman" w:hAnsi="Times New Roman" w:cs="Times New Roman"/>
          <w:sz w:val="28"/>
          <w:szCs w:val="28"/>
        </w:rPr>
        <w:t xml:space="preserve"> от 6 октября 2003 года №</w:t>
      </w:r>
      <w:r w:rsidR="006244D4" w:rsidRPr="006244D4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6F0260">
        <w:rPr>
          <w:rFonts w:ascii="Times New Roman" w:hAnsi="Times New Roman" w:cs="Times New Roman"/>
          <w:sz w:val="28"/>
          <w:szCs w:val="28"/>
        </w:rPr>
        <w:t>«</w:t>
      </w:r>
      <w:r w:rsidR="006244D4" w:rsidRPr="006244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F026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6244D4" w:rsidRPr="006244D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244D4" w:rsidRPr="008162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E432D" w:rsidRPr="00816232">
        <w:rPr>
          <w:rFonts w:ascii="Times New Roman" w:hAnsi="Times New Roman" w:cs="Times New Roman"/>
          <w:sz w:val="28"/>
          <w:szCs w:val="28"/>
        </w:rPr>
        <w:t xml:space="preserve"> </w:t>
      </w:r>
      <w:r w:rsidR="006F0260">
        <w:rPr>
          <w:rFonts w:ascii="Times New Roman" w:hAnsi="Times New Roman" w:cs="Times New Roman"/>
          <w:sz w:val="28"/>
          <w:szCs w:val="28"/>
        </w:rPr>
        <w:t>Калтанского городского округа:</w:t>
      </w:r>
    </w:p>
    <w:p w:rsidR="003E432D" w:rsidRPr="003E432D" w:rsidRDefault="003E432D" w:rsidP="001D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16232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учете</w:t>
      </w:r>
      <w:r w:rsidRPr="003E4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незавершенного строительства, при строительстве которых были использованы средства всех уровней бюджетной системы Российской </w:t>
      </w:r>
      <w:r w:rsidR="0081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состоящих на балансе </w:t>
      </w:r>
      <w:r w:rsidR="00343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6232" w:rsidRPr="00816232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="00343EDF" w:rsidRPr="00343EDF">
        <w:rPr>
          <w:rFonts w:ascii="Times New Roman" w:hAnsi="Times New Roman" w:cs="Times New Roman"/>
          <w:sz w:val="28"/>
          <w:szCs w:val="28"/>
        </w:rPr>
        <w:t xml:space="preserve"> </w:t>
      </w:r>
      <w:r w:rsidR="00343EDF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 w:rsidR="00816232" w:rsidRPr="00816232">
        <w:rPr>
          <w:rFonts w:ascii="Times New Roman" w:hAnsi="Times New Roman" w:cs="Times New Roman"/>
          <w:sz w:val="28"/>
          <w:szCs w:val="28"/>
        </w:rPr>
        <w:t xml:space="preserve">находящихся в ведении </w:t>
      </w:r>
      <w:r w:rsidR="00343EDF">
        <w:rPr>
          <w:rFonts w:ascii="Times New Roman" w:hAnsi="Times New Roman" w:cs="Times New Roman"/>
          <w:sz w:val="28"/>
          <w:szCs w:val="28"/>
        </w:rPr>
        <w:t>а</w:t>
      </w:r>
      <w:r w:rsidR="00816232" w:rsidRPr="00816232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  <w:r w:rsidR="00D6774D">
        <w:rPr>
          <w:rFonts w:ascii="Times New Roman" w:hAnsi="Times New Roman" w:cs="Times New Roman"/>
          <w:sz w:val="28"/>
          <w:szCs w:val="28"/>
        </w:rPr>
        <w:t xml:space="preserve"> </w:t>
      </w:r>
      <w:r w:rsidR="00816232">
        <w:rPr>
          <w:rFonts w:ascii="Times New Roman" w:hAnsi="Times New Roman" w:cs="Times New Roman"/>
          <w:sz w:val="28"/>
          <w:szCs w:val="28"/>
        </w:rPr>
        <w:t>(далее – 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96C" w:rsidRDefault="003E432D" w:rsidP="001D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4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</w:t>
      </w:r>
      <w:r w:rsidR="00343E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казенное учреждение «Управление муниципальным имуществом Калтанского городского округа» </w:t>
      </w:r>
      <w:r w:rsid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незавершенного строительства</w:t>
      </w:r>
      <w:r w:rsidR="005D296C" w:rsidRPr="003E4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строительстве которых были использованы средства всех уровней бюджетной системы Российской Федерации, состоящих на балансе</w:t>
      </w:r>
      <w:r w:rsidR="00D6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Калтанского городского округа</w:t>
      </w:r>
      <w:r w:rsidR="005D296C" w:rsidRPr="003E4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казенных, бюджетных и автономных у</w:t>
      </w:r>
      <w:r w:rsidR="00D6774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чреждений,</w:t>
      </w:r>
      <w:r w:rsidR="005D296C" w:rsidRPr="003E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ED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унитарных предприятий, </w:t>
      </w:r>
      <w:r w:rsidR="005D296C" w:rsidRPr="003E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ведении </w:t>
      </w:r>
      <w:r w:rsidR="00343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Калтанского городского округа</w:t>
      </w:r>
      <w:r w:rsid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реестра согласно приложению к Положению и в сроки, установленные Положением</w:t>
      </w:r>
      <w:r w:rsidR="00AF5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32D" w:rsidRDefault="005D296C" w:rsidP="001D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432D"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организационной и кадровой работы администрации Калтанского городского округа (Верещагина Т.А.) обеспечить размещение постановления на </w:t>
      </w:r>
      <w:r w:rsidR="00AF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3E432D"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Калтанского городского округа.</w:t>
      </w:r>
    </w:p>
    <w:p w:rsidR="001D10FA" w:rsidRPr="001D10FA" w:rsidRDefault="001D10FA" w:rsidP="003257B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10FA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="003257BD">
        <w:rPr>
          <w:rFonts w:ascii="Times New Roman" w:eastAsia="Times New Roman" w:hAnsi="Times New Roman"/>
          <w:sz w:val="28"/>
          <w:szCs w:val="28"/>
        </w:rPr>
        <w:t>подписания</w:t>
      </w:r>
      <w:r w:rsidRPr="001D10FA">
        <w:rPr>
          <w:rFonts w:ascii="Times New Roman" w:eastAsia="Times New Roman" w:hAnsi="Times New Roman"/>
          <w:sz w:val="28"/>
          <w:szCs w:val="28"/>
        </w:rPr>
        <w:t>.</w:t>
      </w:r>
    </w:p>
    <w:p w:rsidR="003E432D" w:rsidRPr="00AF5FE9" w:rsidRDefault="00670D6E" w:rsidP="001D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296C" w:rsidRPr="00BB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32D" w:rsidRPr="00B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432D" w:rsidRPr="00BB1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432D" w:rsidRPr="00B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AF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E9" w:rsidRPr="00AF5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казенного учреждения «Управление муниципальным имуществом Калтанского городского округа»</w:t>
      </w:r>
      <w:r w:rsidR="001C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Оборонову</w:t>
      </w:r>
      <w:proofErr w:type="spellEnd"/>
      <w:r w:rsidR="001C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</w:t>
      </w:r>
      <w:r w:rsidR="00AF5FE9" w:rsidRPr="00AF5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E17" w:rsidRDefault="00683E17" w:rsidP="003E43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32D" w:rsidRDefault="003E432D" w:rsidP="003E4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32D" w:rsidRDefault="003E432D" w:rsidP="003E4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32D" w:rsidRPr="00B47470" w:rsidRDefault="003E432D" w:rsidP="003E4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470">
        <w:rPr>
          <w:rFonts w:ascii="Times New Roman" w:hAnsi="Times New Roman" w:cs="Times New Roman"/>
          <w:b/>
          <w:sz w:val="28"/>
          <w:szCs w:val="28"/>
        </w:rPr>
        <w:t>Глава Калтанского</w:t>
      </w:r>
    </w:p>
    <w:p w:rsidR="003E432D" w:rsidRPr="00B47470" w:rsidRDefault="003E432D" w:rsidP="003E4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470">
        <w:rPr>
          <w:rFonts w:ascii="Times New Roman" w:hAnsi="Times New Roman" w:cs="Times New Roman"/>
          <w:b/>
          <w:sz w:val="28"/>
          <w:szCs w:val="28"/>
        </w:rPr>
        <w:t>городского округа                                                                         И.Ф. Голдинов</w:t>
      </w:r>
    </w:p>
    <w:p w:rsidR="00783C1B" w:rsidRPr="00B47470" w:rsidRDefault="00783C1B">
      <w:pPr>
        <w:rPr>
          <w:rFonts w:ascii="Times New Roman" w:hAnsi="Times New Roman" w:cs="Times New Roman"/>
          <w:b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783C1B" w:rsidRDefault="00783C1B">
      <w:pPr>
        <w:rPr>
          <w:rFonts w:ascii="Times New Roman" w:hAnsi="Times New Roman" w:cs="Times New Roman"/>
          <w:sz w:val="28"/>
          <w:szCs w:val="28"/>
        </w:rPr>
      </w:pPr>
    </w:p>
    <w:p w:rsidR="003D7241" w:rsidRDefault="003D7241">
      <w:pPr>
        <w:rPr>
          <w:rFonts w:ascii="Times New Roman" w:hAnsi="Times New Roman" w:cs="Times New Roman"/>
          <w:sz w:val="28"/>
          <w:szCs w:val="28"/>
        </w:rPr>
      </w:pPr>
    </w:p>
    <w:p w:rsidR="001C175E" w:rsidRPr="001C175E" w:rsidRDefault="00783C1B" w:rsidP="001C175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83C1B">
        <w:rPr>
          <w:rFonts w:ascii="Times New Roman" w:hAnsi="Times New Roman" w:cs="Times New Roman"/>
          <w:sz w:val="28"/>
          <w:szCs w:val="28"/>
        </w:rPr>
        <w:tab/>
      </w:r>
      <w:r w:rsidR="001C175E" w:rsidRPr="001C175E">
        <w:rPr>
          <w:rFonts w:ascii="Times New Roman" w:hAnsi="Times New Roman" w:cs="Times New Roman"/>
          <w:szCs w:val="28"/>
        </w:rPr>
        <w:t>Утверждено</w:t>
      </w:r>
    </w:p>
    <w:p w:rsidR="001C175E" w:rsidRPr="001C175E" w:rsidRDefault="001C175E" w:rsidP="001C175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1C175E">
        <w:rPr>
          <w:rFonts w:ascii="Times New Roman" w:hAnsi="Times New Roman" w:cs="Times New Roman"/>
          <w:szCs w:val="28"/>
        </w:rPr>
        <w:t>постановлением администрации</w:t>
      </w:r>
    </w:p>
    <w:p w:rsidR="001C175E" w:rsidRPr="001C175E" w:rsidRDefault="001C175E" w:rsidP="001C175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1C175E">
        <w:rPr>
          <w:rFonts w:ascii="Times New Roman" w:hAnsi="Times New Roman" w:cs="Times New Roman"/>
          <w:szCs w:val="28"/>
        </w:rPr>
        <w:t xml:space="preserve"> Калтанского городского округа</w:t>
      </w:r>
    </w:p>
    <w:p w:rsidR="001C175E" w:rsidRPr="001C175E" w:rsidRDefault="001C175E" w:rsidP="001C175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1C175E">
        <w:rPr>
          <w:rFonts w:ascii="Times New Roman" w:hAnsi="Times New Roman" w:cs="Times New Roman"/>
          <w:szCs w:val="28"/>
        </w:rPr>
        <w:t xml:space="preserve"> от </w:t>
      </w:r>
      <w:r w:rsidR="00101DBD">
        <w:rPr>
          <w:rFonts w:ascii="Times New Roman" w:hAnsi="Times New Roman" w:cs="Times New Roman"/>
          <w:szCs w:val="28"/>
        </w:rPr>
        <w:t>23.04.</w:t>
      </w:r>
      <w:r w:rsidRPr="001C175E">
        <w:rPr>
          <w:rFonts w:ascii="Times New Roman" w:hAnsi="Times New Roman" w:cs="Times New Roman"/>
          <w:szCs w:val="28"/>
        </w:rPr>
        <w:t xml:space="preserve">2019 г. № </w:t>
      </w:r>
      <w:r w:rsidR="00101DBD">
        <w:rPr>
          <w:rFonts w:ascii="Times New Roman" w:hAnsi="Times New Roman" w:cs="Times New Roman"/>
          <w:szCs w:val="28"/>
        </w:rPr>
        <w:t>123</w:t>
      </w:r>
      <w:bookmarkStart w:id="0" w:name="_GoBack"/>
      <w:bookmarkEnd w:id="0"/>
      <w:r w:rsidRPr="001C175E">
        <w:rPr>
          <w:rFonts w:ascii="Times New Roman" w:hAnsi="Times New Roman" w:cs="Times New Roman"/>
          <w:szCs w:val="28"/>
        </w:rPr>
        <w:t xml:space="preserve"> -п</w:t>
      </w:r>
    </w:p>
    <w:p w:rsidR="005D296C" w:rsidRDefault="005D296C" w:rsidP="001C175E">
      <w:pPr>
        <w:pStyle w:val="a5"/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96C" w:rsidRPr="00DF41CE" w:rsidRDefault="005D296C" w:rsidP="005D2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1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О Ж Е Н ИЕ </w:t>
      </w:r>
    </w:p>
    <w:p w:rsidR="001C175E" w:rsidRPr="00DF41CE" w:rsidRDefault="001C175E" w:rsidP="005D2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DF41CE">
        <w:rPr>
          <w:rFonts w:ascii="Times New Roman" w:hAnsi="Times New Roman" w:cs="Times New Roman"/>
          <w:sz w:val="28"/>
          <w:szCs w:val="28"/>
        </w:rPr>
        <w:t>об учете</w:t>
      </w:r>
      <w:r w:rsidRPr="00D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незавершенного строительства, при строительстве которых были использованы средства всех уровней бюджетной системы Российской Федерации, состоящих на балансе а</w:t>
      </w:r>
      <w:r w:rsidRPr="00DF41CE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 муниципальных унитарных предприятий, находящихся в ведении администрации Калтанского городского округа</w:t>
      </w:r>
    </w:p>
    <w:p w:rsidR="001063F4" w:rsidRPr="00DF41CE" w:rsidRDefault="005D296C" w:rsidP="005D2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96C" w:rsidRPr="00DF41CE" w:rsidRDefault="005D296C" w:rsidP="005D2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063F4" w:rsidRDefault="001063F4" w:rsidP="005D2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"/>
      <w:bookmarkEnd w:id="1"/>
    </w:p>
    <w:p w:rsidR="005D296C" w:rsidRPr="005D296C" w:rsidRDefault="008B6DC2" w:rsidP="005D2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DF41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учете</w:t>
      </w:r>
      <w:r w:rsidR="005D296C" w:rsidRP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незавершенного строительства,</w:t>
      </w:r>
      <w:r w:rsidR="00D8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296C" w:rsidRP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которых были использованы средства всех уровней бюджетной системы Российской Федерации, состоящих на балансе</w:t>
      </w:r>
      <w:r w:rsidR="0070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80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Калтанского городского округа</w:t>
      </w:r>
      <w:r w:rsidR="005D296C" w:rsidRP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казенных, бюджетных и автономных учреждений,</w:t>
      </w:r>
      <w:r w:rsidR="00D33152" w:rsidRPr="00D33152">
        <w:rPr>
          <w:rFonts w:ascii="Times New Roman" w:hAnsi="Times New Roman" w:cs="Times New Roman"/>
          <w:sz w:val="28"/>
          <w:szCs w:val="28"/>
        </w:rPr>
        <w:t xml:space="preserve"> </w:t>
      </w:r>
      <w:r w:rsidR="00D33152" w:rsidRPr="00DF41CE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D33152">
        <w:rPr>
          <w:rFonts w:ascii="Times New Roman" w:hAnsi="Times New Roman" w:cs="Times New Roman"/>
          <w:sz w:val="28"/>
          <w:szCs w:val="28"/>
        </w:rPr>
        <w:t>,</w:t>
      </w:r>
      <w:r w:rsidR="005D296C" w:rsidRP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ведении </w:t>
      </w:r>
      <w:r w:rsidR="00770FF4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0032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Калтанского городского округа</w:t>
      </w:r>
      <w:r w:rsidR="00D33152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296C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</w:t>
      </w:r>
      <w:hyperlink r:id="rId10" w:history="1">
        <w:r w:rsidR="005D296C" w:rsidRPr="00E62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="005D296C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="005D296C" w:rsidRPr="00E62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5D296C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D33152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296C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D33152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296C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proofErr w:type="gramEnd"/>
      <w:r w:rsidR="005D296C" w:rsidRP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5D296C" w:rsidRP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</w:t>
      </w:r>
      <w:r w:rsidR="00D331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296C" w:rsidRP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96C" w:rsidRPr="005D296C" w:rsidRDefault="005D296C" w:rsidP="005D2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2"/>
      <w:bookmarkEnd w:id="2"/>
      <w:r w:rsidRP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End w:id="3"/>
      <w:r w:rsidRPr="005D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объектов незавершенного строительства </w:t>
      </w:r>
      <w:r w:rsidR="00D80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муниципальное казенное учреждение «Управление муниципальным имуществом Калтанского городского округа»</w:t>
      </w:r>
      <w:r w:rsidR="007A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МКУ «УМИ КГО»)</w:t>
      </w:r>
      <w:r w:rsidR="00106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DC2" w:rsidRDefault="00A5092C" w:rsidP="00F90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6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D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</w:t>
      </w:r>
      <w:r w:rsidR="0031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«УМИ КГО»</w:t>
      </w:r>
      <w:r w:rsidR="008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="0031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 w:rsidR="00EF4C24" w:rsidRPr="00EF4C24">
        <w:t xml:space="preserve"> </w:t>
      </w:r>
      <w:r w:rsidR="00EF4C24">
        <w:t xml:space="preserve"> </w:t>
      </w:r>
      <w:r w:rsidR="00E62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следующей информации</w:t>
      </w:r>
      <w:r w:rsidR="008B6D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6DC2" w:rsidRDefault="008B6DC2" w:rsidP="00F90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сведений об объектах незавершенного строительства;</w:t>
      </w:r>
    </w:p>
    <w:p w:rsidR="008B6DC2" w:rsidRDefault="008B6DC2" w:rsidP="00F90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сведения об объектах незавершенного строительства, содержащиеся в реестре;</w:t>
      </w:r>
    </w:p>
    <w:p w:rsidR="008B6DC2" w:rsidRPr="008B6DC2" w:rsidRDefault="008B6DC2" w:rsidP="00F90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сведений об объектах незавершенного строительства из реестра.</w:t>
      </w:r>
    </w:p>
    <w:p w:rsidR="008B6DC2" w:rsidRDefault="00A5092C" w:rsidP="00B11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6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в реестр сведений об объектах незавершенного строительства, внесения изменений в сведения об объектах незавершенного строительства, содержащиеся в реестре, исключения сведений об объектах незавершенного строительства из реестра является направление муниципальными казенными, бюджетными </w:t>
      </w:r>
      <w:r w:rsidR="0010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автономными уч</w:t>
      </w:r>
      <w:r w:rsidR="003B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реждениями</w:t>
      </w:r>
      <w:r w:rsidR="00EF4C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C24" w:rsidRPr="00EF4C24">
        <w:rPr>
          <w:rFonts w:ascii="Times New Roman" w:hAnsi="Times New Roman" w:cs="Times New Roman"/>
          <w:sz w:val="28"/>
          <w:szCs w:val="28"/>
        </w:rPr>
        <w:t xml:space="preserve"> </w:t>
      </w:r>
      <w:r w:rsidR="00EF4C24" w:rsidRPr="00DF41CE">
        <w:rPr>
          <w:rFonts w:ascii="Times New Roman" w:hAnsi="Times New Roman" w:cs="Times New Roman"/>
          <w:sz w:val="28"/>
          <w:szCs w:val="28"/>
        </w:rPr>
        <w:t>муниципальны</w:t>
      </w:r>
      <w:r w:rsidR="002830FE">
        <w:rPr>
          <w:rFonts w:ascii="Times New Roman" w:hAnsi="Times New Roman" w:cs="Times New Roman"/>
          <w:sz w:val="28"/>
          <w:szCs w:val="28"/>
        </w:rPr>
        <w:t>ми</w:t>
      </w:r>
      <w:r w:rsidR="00EF4C24" w:rsidRPr="00DF41CE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2830FE">
        <w:rPr>
          <w:rFonts w:ascii="Times New Roman" w:hAnsi="Times New Roman" w:cs="Times New Roman"/>
          <w:sz w:val="28"/>
          <w:szCs w:val="28"/>
        </w:rPr>
        <w:t>ми</w:t>
      </w:r>
      <w:r w:rsidR="00EF4C24" w:rsidRPr="00DF41C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830FE">
        <w:rPr>
          <w:rFonts w:ascii="Times New Roman" w:hAnsi="Times New Roman" w:cs="Times New Roman"/>
          <w:sz w:val="28"/>
          <w:szCs w:val="28"/>
        </w:rPr>
        <w:t>ями, находящимися</w:t>
      </w:r>
      <w:r w:rsidR="008C2AF1">
        <w:rPr>
          <w:rFonts w:ascii="Times New Roman" w:hAnsi="Times New Roman" w:cs="Times New Roman"/>
          <w:sz w:val="28"/>
          <w:szCs w:val="28"/>
        </w:rPr>
        <w:t xml:space="preserve"> в ведении</w:t>
      </w:r>
      <w:r w:rsidR="00B1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0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="00216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8C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216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«УМИ КГО»</w:t>
      </w:r>
      <w:r w:rsidR="00B1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объекте незавершенного строительства по форме реестра</w:t>
      </w:r>
      <w:r w:rsidR="00706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proofErr w:type="gramEnd"/>
      <w:r w:rsidR="0002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настоящему Положению</w:t>
      </w:r>
      <w:r w:rsidR="0010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(заполняются </w:t>
      </w:r>
      <w:r w:rsidR="00023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отдельные разделы реестра в соответствии с выбранным способом вовлечения в хозяйственный оборот объекта</w:t>
      </w:r>
      <w:r w:rsidR="009C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строительства).</w:t>
      </w:r>
    </w:p>
    <w:p w:rsidR="008B6DC2" w:rsidRDefault="00A5092C" w:rsidP="008B6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3F4" w:rsidRPr="00203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«УМИ КГО»</w:t>
      </w:r>
      <w:r w:rsidR="0010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 об объектах незавершенного строительства, представленных</w:t>
      </w:r>
      <w:r w:rsidR="007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Калтанского городского округа,</w:t>
      </w:r>
      <w:r w:rsidR="0010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казенными, бюджетными и автономными учреждениями</w:t>
      </w:r>
      <w:r w:rsidR="00770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находящимися в ведении а</w:t>
      </w:r>
      <w:r w:rsidR="001063F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Калтанского городского округа</w:t>
      </w:r>
      <w:r w:rsidR="00B1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31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03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313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утверждения вносит изменение в реестр муниципальной собственности</w:t>
      </w:r>
      <w:r w:rsidR="00B11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DC2" w:rsidRDefault="00A5092C" w:rsidP="008B6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реестр включаются объекты незавершенного строительства, </w:t>
      </w:r>
      <w:r w:rsidR="00582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на балансе а</w:t>
      </w:r>
      <w:r w:rsidR="0086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Калтанского городского округа, муниципальных казенных, бюджетных и автономных учр</w:t>
      </w:r>
      <w:r w:rsidR="00582FB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еждений, находящихся в ведении а</w:t>
      </w:r>
      <w:r w:rsidR="0086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3119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Калтанского городского округа:</w:t>
      </w:r>
    </w:p>
    <w:p w:rsidR="008B6DC2" w:rsidRDefault="00A5092C" w:rsidP="008B6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7BE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119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7BEC" w:rsidRPr="00BB1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метная стоимость которых составляет более 1 млн. рублей.</w:t>
      </w:r>
    </w:p>
    <w:p w:rsidR="00867BEC" w:rsidRDefault="00A5092C" w:rsidP="008B6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1979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</w:t>
      </w:r>
      <w:r w:rsidR="0086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</w:t>
      </w:r>
      <w:proofErr w:type="gramStart"/>
      <w:r w:rsidR="00867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86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приостановлено более чем 1 год назад либо прекращено.</w:t>
      </w:r>
    </w:p>
    <w:p w:rsidR="00867BEC" w:rsidRDefault="00A5092C" w:rsidP="008B6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197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</w:t>
      </w:r>
      <w:r w:rsidR="0086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и (или) реконструкция которых не являются предметом действующих договоров строительного подряда. </w:t>
      </w:r>
    </w:p>
    <w:p w:rsidR="008B6DC2" w:rsidRDefault="00A5092C" w:rsidP="007D32A2">
      <w:pPr>
        <w:tabs>
          <w:tab w:val="left" w:pos="1008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9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объектов незавершенного строительства сопровождается присвоением ему реестрового </w:t>
      </w:r>
      <w:r w:rsidR="00057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муниципального имущества. Внесение</w:t>
      </w:r>
      <w:r w:rsidR="0023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изменении движения</w:t>
      </w:r>
      <w:r w:rsidR="0005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="0023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 осуществляется в соответствии с</w:t>
      </w:r>
      <w:r w:rsidR="0007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«</w:t>
      </w:r>
      <w:r w:rsidR="000749D8" w:rsidRPr="0007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ведения  реестра муниципальной собственности Калтанского городского округа», утвержденный постановлением администрации Калтанского городского округа от 03.08.2012 г. № 178-п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A2C" w:rsidRDefault="00311979" w:rsidP="008B6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1A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Исключение из реестра сведений об объекте незавершенного строительства о</w:t>
      </w:r>
      <w:r w:rsidR="0012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</w:t>
      </w:r>
      <w:r w:rsidR="007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«УМИ КГО» по распоряжению администрации Калтанского городского округа </w:t>
      </w:r>
      <w:r w:rsidR="0012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77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</w:t>
      </w:r>
      <w:r w:rsidR="0012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</w:t>
      </w:r>
      <w:r w:rsidR="0012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 администрацией</w:t>
      </w:r>
      <w:r w:rsidR="0012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Калтанского городского округа в порядке, предусмотренном законодательством Российской Федерации.</w:t>
      </w:r>
    </w:p>
    <w:p w:rsidR="0012633E" w:rsidRDefault="008E0AA2" w:rsidP="008B6D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Направление </w:t>
      </w:r>
      <w:r w:rsidR="00BC3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Калтанского городского округа</w:t>
      </w:r>
      <w:r w:rsidR="004C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казенными, бюджетными и автономными учреждениями, находящимися в ведении </w:t>
      </w:r>
      <w:r w:rsidR="00BC3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Калтанского городского округа</w:t>
      </w:r>
      <w:r w:rsidR="0012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пунктах 4,</w:t>
      </w:r>
      <w:r w:rsidR="004C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ежегодно до </w:t>
      </w:r>
      <w:r w:rsidR="00706E73" w:rsidRPr="00B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56DC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06E73" w:rsidRPr="00B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73" w:rsidRPr="004C0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0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</w:t>
      </w:r>
      <w:r w:rsidR="00F5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</w:t>
      </w:r>
      <w:r w:rsidR="0070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r w:rsidR="00F5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706E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представляются на бумажном и электронном носителях.</w:t>
      </w:r>
    </w:p>
    <w:p w:rsidR="008B6DC2" w:rsidRDefault="00871071" w:rsidP="008710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0AA2">
        <w:rPr>
          <w:rFonts w:ascii="Times New Roman" w:eastAsia="Times New Roman" w:hAnsi="Times New Roman" w:cs="Times New Roman"/>
          <w:sz w:val="28"/>
          <w:szCs w:val="28"/>
          <w:lang w:eastAsia="ru-RU"/>
        </w:rPr>
        <w:t>0. МКУ «УМИ КГО»</w:t>
      </w:r>
      <w:r w:rsidR="004C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сведений, представленных </w:t>
      </w:r>
      <w:r w:rsidR="008E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Калтанского городского округа, муниципальными казенными, бюджетными и автономными учреждениями,</w:t>
      </w:r>
      <w:r w:rsidR="008E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унитарными предприятиями,</w:t>
      </w:r>
      <w:r w:rsidR="0056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ведении </w:t>
      </w:r>
      <w:r w:rsidR="008E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Калтанского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3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нормативного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обновляет реестр.</w:t>
      </w:r>
    </w:p>
    <w:p w:rsidR="003D7241" w:rsidRDefault="00AE3E50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7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Калтанского городского округа, муниципальные </w:t>
      </w:r>
      <w:r w:rsidR="00871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казенные, бюджетные и автономные учреждения, </w:t>
      </w:r>
      <w:r w:rsidR="008E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</w:t>
      </w:r>
      <w:r w:rsidR="0087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ведении </w:t>
      </w:r>
      <w:r w:rsidR="008E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Калтанского городского округа несут ответственность в соответствии с законодательством Российской Федерации за непредставление или ненадлежащее </w:t>
      </w:r>
      <w:proofErr w:type="gramStart"/>
      <w:r w:rsidR="00871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proofErr w:type="gramEnd"/>
      <w:r w:rsidR="0087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нарушением срока, предусмотренного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сведений об объектах незавершенного строительства либо представление недостоверных и (или) неполных сведений об указанных объектах в </w:t>
      </w:r>
      <w:r w:rsidR="00AE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</w:t>
      </w:r>
      <w:r w:rsidR="00823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«УМИ КГО»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Примечания.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 1 реестра включаются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 незавершенного строительства, 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отношении которых принято решение о завершении строительства.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2 раздела 1 указываются заказчик, застройщик, наименование объекта незавершенного строительства, адрес местонахождения объекта и назначение объекта.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отношении назначения объекта выбирается один  из  следующих вариантов: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жилищного фонда;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общественное  (административное);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производственное  (промышленное);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транспортное;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социально-культурное;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коммунально-бытовое;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ГО и ЧС;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транспортной инфраструктуры и связи;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гидротехнические и портовые сооружения;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аэродромной инфраструктуры;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специальное назначение;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иное.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3 раздела 1 указывается мощность объекта и сметная стоимость объекта в соответствии с утвержденной проектной документацией  с  указанием даты определения цены, тыс. рублей.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4 раздела 1 указывается планируемый период строительства (в том числе с учетом разработки проектной документации), годы фактического начала и прекращения строительства объекта, а  также  степень завершенности строительства.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завершенности строительства определяется с учетом оценки технического состояния объекта незавершенного строительства. В графе проставляются следующие значения: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начальная стадия (0% - 15%);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средняя (15% - 50%);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высокая (50% - 75%);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завершающая (75% - 99%);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достроен (100%).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5 раздела 1 указывается при наличии реестровый номер имущества Кемеровской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Калтанского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округа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при отсутствии - слово "нет".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6 раздела 1 указываются реквизиты документа, являвшегося основанием для выделения сре</w:t>
      </w:r>
      <w:proofErr w:type="gramStart"/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вс</w:t>
      </w:r>
      <w:proofErr w:type="gramEnd"/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ех уровней бюджетной системы Российской Федерации.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7 раздела 1 указываются фактически понесенные расходы на реализацию инвестиционного проекта, всего, тыс. рублей.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графах 8 - 10 раздела 1 указываются фактически понесенные расходы на реализацию инвестиционного проекта соответственно по бюджетам: федеральный, областной, местный, тыс. рублей.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11 раздела 1 указывается остаток сметной стоимости по состоянию на 1 января отчетного года в ценах соответствующих лет, тыс. рублей.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12 раздела 1 указывается общий объем средств, необходимых для завершения строительства, а также источники финансирования.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графах 13 - 15 раздела 1 указывается общий объем необходимого финансирования соответственно за счет федерального, областного, местного бюджета, в том числе информация о наличии необходимых объемов бюджетных ассигнований в федеральном, областном и местном бюджете на текущий год и плановый период (под таблицей в примечании необходимо указать наименование государственных программ Кемеровской области или муниципальных программ).</w:t>
      </w:r>
      <w:proofErr w:type="gramEnd"/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отсутствия предусмотренных бюджетных ассигнований в графах 13 - 15 указываются предложения органов власти об источнике финансового обеспечения, за счет  которого  предлагается завершить строительство объекта незавершенного строительства.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16 раздела 1 указывается планируемый срок ввода объекта в эксплуатацию.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 2 реестра включаются объекты незавершенного строительства, в отношении которых предлагается проведение консервации</w:t>
      </w:r>
      <w:r w:rsidR="00AE3E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№ 2)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Графы 2 - 10 раздела 2 заполняются аналогично графам 2 - 10 раздела 1 реестра.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11 раздела 2 отражаются источники и объемы финансирования работ по консервации объекта.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12 раздела 2 указывается срок проведения консервации объекта.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принятии решения о консервации объекта  незавершенного строительства необходимо руководствоваться требованиями </w:t>
      </w:r>
      <w:r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 Правительства Российской</w:t>
      </w:r>
      <w:r w:rsidR="00AE3E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Федерации от 30.09.2011 № 802 «</w:t>
      </w:r>
      <w:r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утверждении </w:t>
      </w:r>
      <w:proofErr w:type="gramStart"/>
      <w:r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 проведения консервации объекта капитального строительства</w:t>
      </w:r>
      <w:proofErr w:type="gramEnd"/>
      <w:r w:rsidR="00AE3E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 3 реестра включаются объекты незавершенного строительства, в отношении которых предлагается приватизация (продажа)</w:t>
      </w:r>
      <w:r w:rsidR="00AE3E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№ 3)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Графы 2 - 10 раздела 3 заполняются аналогично графам 2 - 10 раздела 1 реестра.</w:t>
      </w:r>
    </w:p>
    <w:p w:rsidR="005F1FAB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графе 11 раздела 3 указывается предполагаемый срок приватизации 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(продажи) объекта незавершенного строительства.</w:t>
      </w:r>
    </w:p>
    <w:p w:rsidR="003D7241" w:rsidRPr="003D7241" w:rsidRDefault="00683798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Приватизация (продажа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объекта незавершенного строительства</w:t>
      </w:r>
      <w:r w:rsid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осуществляется в соответствии с 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Федеральным</w:t>
      </w:r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21.12.2001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178-ФЗ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 4 реестра включаются объекты незавершенного строительства, в отношении которых предлагается передача объекта в концессию</w:t>
      </w:r>
      <w:r w:rsidR="006837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№ 4)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5F1FAB" w:rsidRDefault="00101DBD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12">
        <w:r w:rsidR="003D7241" w:rsidRPr="005F1FA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Графы 2 - 10 раздела 4 заполняются аналогично графам 2 - 10 раздела 1</w:t>
        </w:r>
      </w:hyperlink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</w:t>
      </w:r>
      <w:hyperlink r:id="rId13">
        <w:r w:rsidR="003D7241" w:rsidRPr="005F1FA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естра</w:t>
        </w:r>
        <w:proofErr w:type="gramEnd"/>
        <w:r w:rsidR="003D7241" w:rsidRPr="005F1FA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.</w:t>
        </w:r>
      </w:hyperlink>
    </w:p>
    <w:p w:rsidR="003D7241" w:rsidRPr="003D7241" w:rsidRDefault="00101DBD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14">
        <w:r w:rsidR="003D7241" w:rsidRPr="005F1FA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В графе 11  раздела 4 указывается предполагаемый  срок  принятия решения</w:t>
        </w:r>
      </w:hyperlink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заключении концессионного соглашения.</w:t>
      </w:r>
    </w:p>
    <w:p w:rsidR="003D7241" w:rsidRPr="003D7241" w:rsidRDefault="00E47C52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объекта незавершенного строительства  по концессионному соглашению</w:t>
      </w:r>
      <w:r w:rsid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осуществляется в соответствии с </w:t>
      </w:r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ым законом</w:t>
      </w:r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21.07.2005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115-ФЗ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концессионных соглашениях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 5 реестра включаются объекты незавершенного строительства, в отношении которых предлагается передача другим субъектам хозяйственной деятельности, либо в федеральную собственность или в муниципальную собственность</w:t>
      </w:r>
      <w:r w:rsidR="00E47C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№ 5)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Графы 2 - 10 раздела 5 заполняются аналогично графам 2 - 10 раздела 1 реестра.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11 раздела 5 указывается информация  о  предполагаемом получателе объекта незавершенного строительства, а в графе 12 раздела 5 - сроки передачи объекта незавершенного строительства в собственность другого субъекта хозяйственной деятельности либо федеральную собственность или муниципальную собственность.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раздел 6 реестра включаются объекты незавершенного строительства, в отношении которых предлагается списание и снос</w:t>
      </w:r>
      <w:r w:rsidR="00E47C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№ 6)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Графы 2 - 10 раздела 6 заполняются аналогично графам 2 - 10 раздела 1 реестра.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11 раздела 6 отражается информация, обосновывающая необходимость списания объекта незавершенного строительства, в том числе указываются реквизиты документов, подтверждающих состояние объекта незавершенного строительства,  непригодность  к  дальнейшему использованию, невозможность и неэффективность восстановления.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12 раздела 6 указываются источники и объемы финансового обеспечения работ по сносу объекта незавершенного строительства.</w:t>
      </w:r>
    </w:p>
    <w:p w:rsidR="003D7241" w:rsidRPr="005F1FAB" w:rsidRDefault="00101DBD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15">
        <w:r w:rsidR="003D7241" w:rsidRPr="005F1FA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 xml:space="preserve">В графе 13 раздела 6 указывается срок списания и сноса </w:t>
        </w:r>
        <w:proofErr w:type="gramStart"/>
        <w:r w:rsidR="003D7241" w:rsidRPr="005F1FA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объекта</w:t>
        </w:r>
        <w:proofErr w:type="gramEnd"/>
      </w:hyperlink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</w:t>
      </w:r>
      <w:hyperlink r:id="rId16">
        <w:r w:rsidR="003D7241" w:rsidRPr="005F1FA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завершенного строительства.</w:t>
        </w:r>
      </w:hyperlink>
    </w:p>
    <w:p w:rsidR="003D7241" w:rsidRPr="003D7241" w:rsidRDefault="00101DBD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17">
        <w:r w:rsidR="003D7241" w:rsidRPr="005F1FA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В раздел 7 реестра включаются объекты незавершенного строительства, в</w:t>
        </w:r>
      </w:hyperlink>
      <w:r w:rsidR="003D7241" w:rsidRPr="005F1F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отношении которых предлагается принятие </w:t>
      </w:r>
      <w:r w:rsidR="003D7241" w:rsidRPr="00BB1E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казну </w:t>
      </w:r>
      <w:r w:rsidR="00F118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Калтанского городского округа (Приложение № 7)</w:t>
      </w:r>
      <w:r w:rsidR="003D7241"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Графы 2 - 10 раздела 7 заполняются аналогично графам 2 - 10 раздела 1 реестра.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графе 11 раздела 7 указывается срок принятия объекта незавершенного строительства </w:t>
      </w:r>
      <w:r w:rsidRPr="00BB1E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казну Кемеровской области.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раздел 8 реестра включаются капитальные вложения, произведенные в объекты капитального строительства, строительство, реконструкция, в том числе с элементами реставрации, техническое перевооружение которых не начиналось (расходы на проектные и изыскательские работы, подготовку проектной документации, прочие работы, предшествующие началу строительства и входящие в сметную стоимость объекта капитального строительства)</w:t>
      </w:r>
      <w:r w:rsidR="00F118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№ 8)</w:t>
      </w: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Графы 2 - 4 раздела 8 заполняются аналогично графам 2 - 4 раздела 1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реестра, графы 5 - 9 раздела 8 - аналогично графам 6 - 10 раздела 1 реестра.</w:t>
      </w: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10 раздела 8 указывается информация о наличии разработанной проектной документации по объекту незавершенного строительства, в том числе информация о наличии заключений государственных экспертиз по проектной документации.</w:t>
      </w:r>
    </w:p>
    <w:p w:rsidR="00D22166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D22166" w:rsidSect="003D72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72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графе 11 раздела 8 указываются предлагаемые решения в отношении указанных объектов незавершенного строительства с учетом возможности или невозможности дальнейшего использования разработанной проектной документации, а в графе 12 раздела 8 - срок реализации  предлагаемых решений.</w:t>
      </w:r>
    </w:p>
    <w:p w:rsidR="00D22166" w:rsidRPr="00AE7C10" w:rsidRDefault="00D22166" w:rsidP="00D221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20BC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22166" w:rsidRPr="00AE7C10" w:rsidRDefault="00D22166" w:rsidP="00D221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7C10">
        <w:rPr>
          <w:rFonts w:ascii="Times New Roman" w:hAnsi="Times New Roman" w:cs="Times New Roman"/>
          <w:sz w:val="24"/>
          <w:szCs w:val="24"/>
        </w:rPr>
        <w:t xml:space="preserve"> Положению об учете объектов незавершенного строительства,</w:t>
      </w:r>
    </w:p>
    <w:p w:rsidR="00D22166" w:rsidRPr="00AE7C10" w:rsidRDefault="00D22166" w:rsidP="00D221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при строительстве которых, были использованы средства всех уровней</w:t>
      </w:r>
    </w:p>
    <w:p w:rsidR="00D22166" w:rsidRPr="00AE7C10" w:rsidRDefault="00D22166" w:rsidP="00D221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на балансе </w:t>
      </w:r>
    </w:p>
    <w:p w:rsidR="00D22166" w:rsidRPr="00AE7C10" w:rsidRDefault="00D22166" w:rsidP="00D221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казенных,</w:t>
      </w:r>
    </w:p>
    <w:p w:rsidR="00D22166" w:rsidRDefault="00D22166" w:rsidP="00D2216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</w:t>
      </w:r>
      <w:r w:rsidRPr="00293507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66" w:rsidRPr="00AE7C10" w:rsidRDefault="00D22166" w:rsidP="00D2216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7C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в ведении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</w:t>
      </w:r>
    </w:p>
    <w:p w:rsidR="00D22166" w:rsidRPr="00AE7C10" w:rsidRDefault="00D22166" w:rsidP="00D22166">
      <w:pPr>
        <w:ind w:left="-480" w:right="-143"/>
        <w:jc w:val="right"/>
        <w:rPr>
          <w:b/>
          <w:sz w:val="28"/>
          <w:szCs w:val="28"/>
        </w:rPr>
      </w:pPr>
    </w:p>
    <w:p w:rsidR="00D22166" w:rsidRPr="00AE7C10" w:rsidRDefault="00D22166" w:rsidP="00D22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строительства, при строительстве которых, были использованы средства всех уровней бюджетной системы Российской Ф</w:t>
      </w:r>
      <w:r>
        <w:rPr>
          <w:rFonts w:ascii="Times New Roman" w:hAnsi="Times New Roman" w:cs="Times New Roman"/>
          <w:sz w:val="28"/>
          <w:szCs w:val="28"/>
        </w:rPr>
        <w:t>едерации, состоящих на балансе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Pr="0029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</w:p>
    <w:p w:rsidR="00D22166" w:rsidRPr="00AE7C10" w:rsidRDefault="00D22166" w:rsidP="00D221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 xml:space="preserve">Объекты незавершенного строительства, в отношении которых предлагается завершение строительства </w:t>
      </w: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805"/>
        <w:gridCol w:w="1022"/>
        <w:gridCol w:w="1260"/>
        <w:gridCol w:w="966"/>
        <w:gridCol w:w="1175"/>
        <w:gridCol w:w="704"/>
        <w:gridCol w:w="990"/>
        <w:gridCol w:w="840"/>
        <w:gridCol w:w="812"/>
        <w:gridCol w:w="1246"/>
        <w:gridCol w:w="648"/>
        <w:gridCol w:w="993"/>
        <w:gridCol w:w="867"/>
        <w:gridCol w:w="781"/>
        <w:gridCol w:w="798"/>
      </w:tblGrid>
      <w:tr w:rsidR="00D22166" w:rsidRPr="00AE7C10" w:rsidTr="00D22166">
        <w:trPr>
          <w:trHeight w:val="472"/>
          <w:jc w:val="center"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Заказчик, застройщик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6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</w:t>
            </w:r>
            <w:r w:rsidR="00CB7198">
              <w:rPr>
                <w:rFonts w:ascii="Times New Roman" w:hAnsi="Times New Roman" w:cs="Times New Roman"/>
                <w:sz w:val="20"/>
                <w:szCs w:val="20"/>
              </w:rPr>
              <w:t>ления средств (начала строитель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3346" w:type="dxa"/>
            <w:gridSpan w:val="4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Остаток сметной стоимости по состоянию на 1 января текущего года, тыс. рублей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Источники и объемы финансирования, необходимого для завершения строительства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D22166" w:rsidRPr="00AE7C10" w:rsidRDefault="00CB7198" w:rsidP="00D22166">
            <w:pPr>
              <w:autoSpaceDE w:val="0"/>
              <w:autoSpaceDN w:val="0"/>
              <w:adjustRightInd w:val="0"/>
              <w:ind w:left="-108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ввода объекта в эксплу</w:t>
            </w:r>
            <w:r w:rsidR="00D22166" w:rsidRPr="00AE7C10">
              <w:rPr>
                <w:rFonts w:ascii="Times New Roman" w:hAnsi="Times New Roman" w:cs="Times New Roman"/>
                <w:sz w:val="20"/>
                <w:szCs w:val="20"/>
              </w:rPr>
              <w:t>атацию</w:t>
            </w:r>
          </w:p>
        </w:tc>
      </w:tr>
      <w:tr w:rsidR="00D22166" w:rsidRPr="005310E5" w:rsidTr="00D22166">
        <w:trPr>
          <w:jc w:val="center"/>
        </w:trPr>
        <w:tc>
          <w:tcPr>
            <w:tcW w:w="38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42" w:type="dxa"/>
            <w:gridSpan w:val="3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41" w:type="dxa"/>
            <w:gridSpan w:val="3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5310E5" w:rsidTr="00D22166">
        <w:trPr>
          <w:jc w:val="center"/>
        </w:trPr>
        <w:tc>
          <w:tcPr>
            <w:tcW w:w="38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22166" w:rsidRPr="00AE7C10" w:rsidRDefault="00CB7198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D22166" w:rsidRPr="00AE7C10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22166" w:rsidRPr="00AE7C10" w:rsidRDefault="00CB7198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="00D22166" w:rsidRPr="00AE7C10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22166" w:rsidRPr="00AE7C10" w:rsidRDefault="00CB7198" w:rsidP="00D22166">
            <w:pPr>
              <w:autoSpaceDE w:val="0"/>
              <w:autoSpaceDN w:val="0"/>
              <w:adjustRightInd w:val="0"/>
              <w:ind w:left="-94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D22166" w:rsidRPr="00AE7C10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22166" w:rsidRPr="00AE7C10" w:rsidRDefault="00CB7198" w:rsidP="00D22166">
            <w:pPr>
              <w:autoSpaceDE w:val="0"/>
              <w:autoSpaceDN w:val="0"/>
              <w:adjustRightInd w:val="0"/>
              <w:ind w:left="-94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="00D22166" w:rsidRPr="00AE7C10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5310E5" w:rsidTr="00D22166">
        <w:trPr>
          <w:trHeight w:val="262"/>
          <w:jc w:val="center"/>
        </w:trPr>
        <w:tc>
          <w:tcPr>
            <w:tcW w:w="38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22166" w:rsidRPr="005310E5" w:rsidTr="00D22166">
        <w:trPr>
          <w:trHeight w:val="457"/>
          <w:jc w:val="center"/>
        </w:trPr>
        <w:tc>
          <w:tcPr>
            <w:tcW w:w="388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122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108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108"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80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80"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8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</w:tcPr>
          <w:p w:rsidR="00D22166" w:rsidRPr="005310E5" w:rsidRDefault="00D22166" w:rsidP="00D22166">
            <w:pPr>
              <w:autoSpaceDE w:val="0"/>
              <w:autoSpaceDN w:val="0"/>
              <w:adjustRightInd w:val="0"/>
              <w:ind w:left="-108" w:right="-89"/>
              <w:jc w:val="center"/>
              <w:rPr>
                <w:sz w:val="18"/>
                <w:szCs w:val="18"/>
              </w:rPr>
            </w:pPr>
          </w:p>
        </w:tc>
      </w:tr>
    </w:tbl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7C10">
        <w:rPr>
          <w:rFonts w:ascii="Times New Roman" w:hAnsi="Times New Roman" w:cs="Times New Roman"/>
          <w:sz w:val="24"/>
          <w:szCs w:val="24"/>
        </w:rPr>
        <w:t xml:space="preserve"> Положению об учете объектов незавершенного строительства,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при строительстве которых, были использованы средства всех уровней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на балансе 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казенных,</w:t>
      </w:r>
    </w:p>
    <w:p w:rsidR="00CB7198" w:rsidRDefault="00CB7198" w:rsidP="00CB719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</w:t>
      </w:r>
      <w:r w:rsidRPr="00293507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7C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в ведении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</w:t>
      </w:r>
    </w:p>
    <w:p w:rsidR="00CB7198" w:rsidRPr="00AE7C10" w:rsidRDefault="00CB7198" w:rsidP="00CB7198">
      <w:pPr>
        <w:ind w:left="-480" w:right="-143"/>
        <w:jc w:val="right"/>
        <w:rPr>
          <w:b/>
          <w:sz w:val="28"/>
          <w:szCs w:val="28"/>
        </w:rPr>
      </w:pPr>
    </w:p>
    <w:p w:rsidR="00CB7198" w:rsidRPr="00AE7C10" w:rsidRDefault="00CB7198" w:rsidP="00CB71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строительства, при строительстве которых, были использованы средства всех уровней бюджетной системы Российской Ф</w:t>
      </w:r>
      <w:r>
        <w:rPr>
          <w:rFonts w:ascii="Times New Roman" w:hAnsi="Times New Roman" w:cs="Times New Roman"/>
          <w:sz w:val="28"/>
          <w:szCs w:val="28"/>
        </w:rPr>
        <w:t>едерации, состоящих на балансе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Pr="0029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</w:p>
    <w:p w:rsidR="00D22166" w:rsidRPr="00210B70" w:rsidRDefault="00D22166" w:rsidP="00D221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0B70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строительства, в отношении которых предлагается проведение консервации</w:t>
      </w: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69"/>
        <w:gridCol w:w="1134"/>
        <w:gridCol w:w="1559"/>
        <w:gridCol w:w="1134"/>
        <w:gridCol w:w="1417"/>
        <w:gridCol w:w="709"/>
        <w:gridCol w:w="1276"/>
        <w:gridCol w:w="1134"/>
        <w:gridCol w:w="1559"/>
        <w:gridCol w:w="1701"/>
        <w:gridCol w:w="1276"/>
      </w:tblGrid>
      <w:tr w:rsidR="00D22166" w:rsidRPr="00AE7C10" w:rsidTr="00D22166">
        <w:trPr>
          <w:trHeight w:val="47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Заказчик, застройщик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6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средств (начала строитель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и объемы финансирования, работ по консервации объекта</w:t>
            </w:r>
          </w:p>
        </w:tc>
        <w:tc>
          <w:tcPr>
            <w:tcW w:w="1276" w:type="dxa"/>
            <w:vMerge w:val="restart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консервации объекта</w:t>
            </w:r>
          </w:p>
        </w:tc>
      </w:tr>
      <w:tr w:rsidR="00D22166" w:rsidRPr="00AE7C10" w:rsidTr="00D22166"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2898"/>
        </w:trPr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559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198" w:rsidRDefault="00D22166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7C10">
        <w:rPr>
          <w:rFonts w:ascii="Times New Roman" w:hAnsi="Times New Roman" w:cs="Times New Roman"/>
          <w:sz w:val="24"/>
          <w:szCs w:val="24"/>
        </w:rPr>
        <w:t xml:space="preserve"> Положению об учете объектов незавершенного строительства,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при строительстве которых, были использованы средства всех уровней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на балансе 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казенных,</w:t>
      </w:r>
    </w:p>
    <w:p w:rsidR="00CB7198" w:rsidRDefault="00CB7198" w:rsidP="00CB719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</w:t>
      </w:r>
      <w:r w:rsidRPr="00293507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7C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в ведении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</w:t>
      </w:r>
    </w:p>
    <w:p w:rsidR="00CB7198" w:rsidRPr="00AE7C10" w:rsidRDefault="00CB7198" w:rsidP="00CB7198">
      <w:pPr>
        <w:ind w:left="-480" w:right="-143"/>
        <w:jc w:val="right"/>
        <w:rPr>
          <w:b/>
          <w:sz w:val="28"/>
          <w:szCs w:val="28"/>
        </w:rPr>
      </w:pPr>
    </w:p>
    <w:p w:rsidR="00CB7198" w:rsidRPr="00AE7C10" w:rsidRDefault="00CB7198" w:rsidP="00CB71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строительства, при строительстве которых, были использованы средства всех уровней бюджетной системы Российской Ф</w:t>
      </w:r>
      <w:r>
        <w:rPr>
          <w:rFonts w:ascii="Times New Roman" w:hAnsi="Times New Roman" w:cs="Times New Roman"/>
          <w:sz w:val="28"/>
          <w:szCs w:val="28"/>
        </w:rPr>
        <w:t>едерации, состоящих на балансе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Pr="0029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</w:p>
    <w:p w:rsidR="00D22166" w:rsidRDefault="00D22166" w:rsidP="00D221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53C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строительства, в отношении которых предлагается приватизация (продажа)</w:t>
      </w: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4"/>
        <w:gridCol w:w="992"/>
        <w:gridCol w:w="2268"/>
        <w:gridCol w:w="1134"/>
        <w:gridCol w:w="1276"/>
        <w:gridCol w:w="992"/>
        <w:gridCol w:w="1276"/>
        <w:gridCol w:w="1417"/>
        <w:gridCol w:w="1418"/>
        <w:gridCol w:w="1701"/>
      </w:tblGrid>
      <w:tr w:rsidR="00D22166" w:rsidTr="00D22166">
        <w:trPr>
          <w:trHeight w:val="47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Заказчик, застройщик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6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</w:t>
            </w:r>
            <w:r w:rsidR="001E7986">
              <w:rPr>
                <w:rFonts w:ascii="Times New Roman" w:hAnsi="Times New Roman" w:cs="Times New Roman"/>
                <w:sz w:val="20"/>
                <w:szCs w:val="20"/>
              </w:rPr>
              <w:t>ления средств (начала строитель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приватизации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(продажи)</w:t>
            </w:r>
          </w:p>
        </w:tc>
      </w:tr>
      <w:tr w:rsidR="00D22166" w:rsidRPr="00AE7C10" w:rsidTr="00D22166"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Tr="00D22166">
        <w:trPr>
          <w:trHeight w:val="1603"/>
        </w:trPr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417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418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198" w:rsidRDefault="00CB719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198" w:rsidRDefault="00CB719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198" w:rsidRDefault="00CB719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F38">
        <w:rPr>
          <w:rFonts w:ascii="Times New Roman" w:hAnsi="Times New Roman" w:cs="Times New Roman"/>
          <w:sz w:val="24"/>
          <w:szCs w:val="24"/>
        </w:rPr>
        <w:t>№ 4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7C10">
        <w:rPr>
          <w:rFonts w:ascii="Times New Roman" w:hAnsi="Times New Roman" w:cs="Times New Roman"/>
          <w:sz w:val="24"/>
          <w:szCs w:val="24"/>
        </w:rPr>
        <w:t xml:space="preserve"> Положению об учете объектов незавершенного строительства,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при строительстве которых, были использованы средства всех уровней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на балансе 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казенных,</w:t>
      </w:r>
    </w:p>
    <w:p w:rsidR="00CB7198" w:rsidRDefault="00CB7198" w:rsidP="00CB719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</w:t>
      </w:r>
      <w:r w:rsidRPr="00293507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98" w:rsidRPr="00AE7C10" w:rsidRDefault="00CB7198" w:rsidP="00CB71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7C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в ведении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</w:t>
      </w:r>
    </w:p>
    <w:p w:rsidR="00CB7198" w:rsidRPr="00AE7C10" w:rsidRDefault="00CB7198" w:rsidP="00CB7198">
      <w:pPr>
        <w:ind w:left="-480" w:right="-143"/>
        <w:jc w:val="right"/>
        <w:rPr>
          <w:b/>
          <w:sz w:val="28"/>
          <w:szCs w:val="28"/>
        </w:rPr>
      </w:pPr>
    </w:p>
    <w:p w:rsidR="00CB7198" w:rsidRPr="00AE7C10" w:rsidRDefault="00CB7198" w:rsidP="00CB71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строительства, при строительстве которых, были использованы средства всех уровней бюджетной системы Российской Ф</w:t>
      </w:r>
      <w:r>
        <w:rPr>
          <w:rFonts w:ascii="Times New Roman" w:hAnsi="Times New Roman" w:cs="Times New Roman"/>
          <w:sz w:val="28"/>
          <w:szCs w:val="28"/>
        </w:rPr>
        <w:t>едерации, состоящих на балансе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Pr="0029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</w:p>
    <w:p w:rsidR="00D22166" w:rsidRDefault="00D22166" w:rsidP="00D22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незавершенного строительства, в отношении которых предлагается передача в концессию</w:t>
      </w: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4"/>
        <w:gridCol w:w="992"/>
        <w:gridCol w:w="2268"/>
        <w:gridCol w:w="1134"/>
        <w:gridCol w:w="1276"/>
        <w:gridCol w:w="992"/>
        <w:gridCol w:w="1276"/>
        <w:gridCol w:w="1417"/>
        <w:gridCol w:w="1560"/>
        <w:gridCol w:w="1984"/>
      </w:tblGrid>
      <w:tr w:rsidR="00D22166" w:rsidRPr="00AE7C10" w:rsidTr="00D22166">
        <w:trPr>
          <w:trHeight w:val="47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Заказчик, застройщик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6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</w:t>
            </w:r>
            <w:r w:rsidR="001E7986">
              <w:rPr>
                <w:rFonts w:ascii="Times New Roman" w:hAnsi="Times New Roman" w:cs="Times New Roman"/>
                <w:sz w:val="20"/>
                <w:szCs w:val="20"/>
              </w:rPr>
              <w:t>ления средств (начала строитель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принятия решения о заключении концессионного соглашения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2185"/>
        </w:trPr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417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560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166" w:rsidRDefault="00D22166" w:rsidP="00D221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F38" w:rsidRDefault="003A5F3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7C10">
        <w:rPr>
          <w:rFonts w:ascii="Times New Roman" w:hAnsi="Times New Roman" w:cs="Times New Roman"/>
          <w:sz w:val="24"/>
          <w:szCs w:val="24"/>
        </w:rPr>
        <w:t xml:space="preserve"> Положению об учете объектов незавершенного строительства,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при строительстве которых, были использованы средства всех уровней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на балансе 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казенных,</w:t>
      </w:r>
    </w:p>
    <w:p w:rsidR="003A5F38" w:rsidRDefault="003A5F38" w:rsidP="003A5F3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</w:t>
      </w:r>
      <w:r w:rsidRPr="00293507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7C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в ведении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</w:t>
      </w:r>
    </w:p>
    <w:p w:rsidR="003A5F38" w:rsidRPr="00AE7C10" w:rsidRDefault="003A5F38" w:rsidP="003A5F38">
      <w:pPr>
        <w:ind w:left="-480" w:right="-143"/>
        <w:jc w:val="right"/>
        <w:rPr>
          <w:b/>
          <w:sz w:val="28"/>
          <w:szCs w:val="28"/>
        </w:rPr>
      </w:pPr>
    </w:p>
    <w:p w:rsidR="003A5F38" w:rsidRPr="00AE7C10" w:rsidRDefault="003A5F38" w:rsidP="003A5F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строительства, при строительстве которых, были использованы средства всех уровней бюджетной системы Российской Ф</w:t>
      </w:r>
      <w:r>
        <w:rPr>
          <w:rFonts w:ascii="Times New Roman" w:hAnsi="Times New Roman" w:cs="Times New Roman"/>
          <w:sz w:val="28"/>
          <w:szCs w:val="28"/>
        </w:rPr>
        <w:t>едерации, состоящих на балансе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Pr="0029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</w:p>
    <w:p w:rsidR="00D22166" w:rsidRDefault="00D22166" w:rsidP="00D22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незавершенного строительства, в отношении которых предлагается передача другим субъектам хозяйственной деятельности либо </w:t>
      </w:r>
      <w:r w:rsidRPr="007A2757">
        <w:rPr>
          <w:rFonts w:ascii="Times New Roman" w:hAnsi="Times New Roman" w:cs="Times New Roman"/>
          <w:sz w:val="28"/>
          <w:szCs w:val="28"/>
        </w:rPr>
        <w:t>в федеральную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или в муниципальную собственность</w:t>
      </w: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4"/>
        <w:gridCol w:w="992"/>
        <w:gridCol w:w="1985"/>
        <w:gridCol w:w="1275"/>
        <w:gridCol w:w="1134"/>
        <w:gridCol w:w="709"/>
        <w:gridCol w:w="1276"/>
        <w:gridCol w:w="1417"/>
        <w:gridCol w:w="1276"/>
        <w:gridCol w:w="1418"/>
        <w:gridCol w:w="1417"/>
      </w:tblGrid>
      <w:tr w:rsidR="00D22166" w:rsidTr="00D22166">
        <w:trPr>
          <w:trHeight w:val="47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Заказчик, застройщик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166" w:rsidRPr="00AE7C10" w:rsidRDefault="00D22166" w:rsidP="001E7986">
            <w:pPr>
              <w:autoSpaceDE w:val="0"/>
              <w:autoSpaceDN w:val="0"/>
              <w:adjustRightInd w:val="0"/>
              <w:ind w:left="-86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средств (начала строитель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</w:t>
            </w:r>
            <w:r w:rsidR="001E7986">
              <w:rPr>
                <w:rFonts w:ascii="Times New Roman" w:hAnsi="Times New Roman" w:cs="Times New Roman"/>
                <w:sz w:val="20"/>
                <w:szCs w:val="20"/>
              </w:rPr>
              <w:t>й получатель объекта незавершен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строительства</w:t>
            </w:r>
          </w:p>
        </w:tc>
        <w:tc>
          <w:tcPr>
            <w:tcW w:w="1417" w:type="dxa"/>
            <w:vMerge w:val="restart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пер</w:t>
            </w:r>
            <w:r w:rsidR="001E7986">
              <w:rPr>
                <w:rFonts w:ascii="Times New Roman" w:hAnsi="Times New Roman" w:cs="Times New Roman"/>
                <w:sz w:val="20"/>
                <w:szCs w:val="20"/>
              </w:rPr>
              <w:t>едачи объекта незавершен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строительства</w:t>
            </w:r>
          </w:p>
        </w:tc>
      </w:tr>
      <w:tr w:rsidR="00D22166" w:rsidRPr="00AE7C10" w:rsidTr="00D22166"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Tr="00D22166">
        <w:trPr>
          <w:trHeight w:val="1611"/>
        </w:trPr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417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6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5F38" w:rsidRDefault="003A5F3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F38" w:rsidRDefault="003A5F3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F38" w:rsidRDefault="003A5F3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7C10">
        <w:rPr>
          <w:rFonts w:ascii="Times New Roman" w:hAnsi="Times New Roman" w:cs="Times New Roman"/>
          <w:sz w:val="24"/>
          <w:szCs w:val="24"/>
        </w:rPr>
        <w:t xml:space="preserve"> Положению об учете объектов незавершенного строительства,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при строительстве которых, были использованы средства всех уровней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на балансе 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казенных,</w:t>
      </w:r>
    </w:p>
    <w:p w:rsidR="003A5F38" w:rsidRDefault="003A5F38" w:rsidP="003A5F3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</w:t>
      </w:r>
      <w:r w:rsidRPr="00293507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7C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в ведении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</w:t>
      </w:r>
    </w:p>
    <w:p w:rsidR="003A5F38" w:rsidRPr="00AE7C10" w:rsidRDefault="003A5F38" w:rsidP="003A5F38">
      <w:pPr>
        <w:ind w:left="-480" w:right="-143"/>
        <w:jc w:val="right"/>
        <w:rPr>
          <w:b/>
          <w:sz w:val="28"/>
          <w:szCs w:val="28"/>
        </w:rPr>
      </w:pPr>
    </w:p>
    <w:p w:rsidR="003A5F38" w:rsidRPr="00AE7C10" w:rsidRDefault="003A5F38" w:rsidP="003A5F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строительства, при строительстве которых, были использованы средства всех уровней бюджетной системы Российской Ф</w:t>
      </w:r>
      <w:r>
        <w:rPr>
          <w:rFonts w:ascii="Times New Roman" w:hAnsi="Times New Roman" w:cs="Times New Roman"/>
          <w:sz w:val="28"/>
          <w:szCs w:val="28"/>
        </w:rPr>
        <w:t>едерации, состоящих на балансе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Pr="0029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</w:p>
    <w:p w:rsidR="00D22166" w:rsidRDefault="00D22166" w:rsidP="00D22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незавершенного строительства, в отношении которых предлагается списание и снос</w:t>
      </w: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85"/>
        <w:gridCol w:w="992"/>
        <w:gridCol w:w="1418"/>
        <w:gridCol w:w="1134"/>
        <w:gridCol w:w="1276"/>
        <w:gridCol w:w="708"/>
        <w:gridCol w:w="1134"/>
        <w:gridCol w:w="993"/>
        <w:gridCol w:w="992"/>
        <w:gridCol w:w="2410"/>
        <w:gridCol w:w="1275"/>
        <w:gridCol w:w="1276"/>
      </w:tblGrid>
      <w:tr w:rsidR="00D22166" w:rsidTr="00D22166">
        <w:trPr>
          <w:trHeight w:val="47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Заказчик, застройщик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22166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6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</w:t>
            </w:r>
            <w:r w:rsidR="003A5F38">
              <w:rPr>
                <w:rFonts w:ascii="Times New Roman" w:hAnsi="Times New Roman" w:cs="Times New Roman"/>
                <w:sz w:val="20"/>
                <w:szCs w:val="20"/>
              </w:rPr>
              <w:t>ления средств (начала строитель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списания объекта незавершенного строительства (в том числе реквизиты документов, содержащих информацию о состоянии объекта незавершенного строительства, непригодности к дальнейшему использованию, невозможности и неэффективности восстановления)</w:t>
            </w:r>
          </w:p>
        </w:tc>
        <w:tc>
          <w:tcPr>
            <w:tcW w:w="1275" w:type="dxa"/>
            <w:vMerge w:val="restart"/>
          </w:tcPr>
          <w:p w:rsidR="00D22166" w:rsidRDefault="00D22166" w:rsidP="003A5F38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 объемы финансирования работ по сносу объекта </w:t>
            </w:r>
            <w:r w:rsidR="003A5F38">
              <w:rPr>
                <w:rFonts w:ascii="Times New Roman" w:hAnsi="Times New Roman" w:cs="Times New Roman"/>
                <w:sz w:val="20"/>
                <w:szCs w:val="20"/>
              </w:rPr>
              <w:t>незавершен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строительства</w:t>
            </w:r>
          </w:p>
        </w:tc>
        <w:tc>
          <w:tcPr>
            <w:tcW w:w="1276" w:type="dxa"/>
            <w:vMerge w:val="restart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спис</w:t>
            </w:r>
            <w:r w:rsidR="003A5F38">
              <w:rPr>
                <w:rFonts w:ascii="Times New Roman" w:hAnsi="Times New Roman" w:cs="Times New Roman"/>
                <w:sz w:val="20"/>
                <w:szCs w:val="20"/>
              </w:rPr>
              <w:t>ания и сноса объекта незавершен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строительства</w:t>
            </w:r>
          </w:p>
        </w:tc>
      </w:tr>
      <w:tr w:rsidR="00D22166" w:rsidRPr="00AE7C10" w:rsidTr="00D22166"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Tr="00D22166">
        <w:trPr>
          <w:trHeight w:val="3040"/>
        </w:trPr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993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992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166" w:rsidRDefault="00D22166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7C10">
        <w:rPr>
          <w:rFonts w:ascii="Times New Roman" w:hAnsi="Times New Roman" w:cs="Times New Roman"/>
          <w:sz w:val="24"/>
          <w:szCs w:val="24"/>
        </w:rPr>
        <w:t xml:space="preserve"> Положению об учете объектов незавершенного строительства,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при строительстве которых, были использованы средства всех уровней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на балансе 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казенных,</w:t>
      </w:r>
    </w:p>
    <w:p w:rsidR="003A5F38" w:rsidRDefault="003A5F38" w:rsidP="003A5F3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</w:t>
      </w:r>
      <w:r w:rsidRPr="00293507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7C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в ведении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</w:t>
      </w:r>
    </w:p>
    <w:p w:rsidR="003A5F38" w:rsidRPr="00AE7C10" w:rsidRDefault="003A5F38" w:rsidP="003A5F38">
      <w:pPr>
        <w:ind w:left="-480" w:right="-143"/>
        <w:jc w:val="right"/>
        <w:rPr>
          <w:b/>
          <w:sz w:val="28"/>
          <w:szCs w:val="28"/>
        </w:rPr>
      </w:pPr>
    </w:p>
    <w:p w:rsidR="003A5F38" w:rsidRPr="00AE7C10" w:rsidRDefault="003A5F38" w:rsidP="003A5F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строительства, при строительстве которых, были использованы средства всех уровней бюджетной системы Российской Ф</w:t>
      </w:r>
      <w:r>
        <w:rPr>
          <w:rFonts w:ascii="Times New Roman" w:hAnsi="Times New Roman" w:cs="Times New Roman"/>
          <w:sz w:val="28"/>
          <w:szCs w:val="28"/>
        </w:rPr>
        <w:t>едерации, состоящих на балансе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Pr="0029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</w:p>
    <w:p w:rsidR="00D22166" w:rsidRDefault="00D22166" w:rsidP="00D2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незавершенного строительства, в отношении которых предлагается принятие в казну Калтанского городского округа</w:t>
      </w: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089"/>
        <w:gridCol w:w="996"/>
        <w:gridCol w:w="2264"/>
        <w:gridCol w:w="1134"/>
        <w:gridCol w:w="1276"/>
        <w:gridCol w:w="996"/>
        <w:gridCol w:w="1276"/>
        <w:gridCol w:w="1417"/>
        <w:gridCol w:w="8"/>
        <w:gridCol w:w="1410"/>
        <w:gridCol w:w="2134"/>
      </w:tblGrid>
      <w:tr w:rsidR="00D22166" w:rsidRPr="00AE7C10" w:rsidTr="00D22166">
        <w:trPr>
          <w:trHeight w:val="472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Заказчик, застройщик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6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</w:t>
            </w:r>
            <w:r w:rsidR="003A5F38">
              <w:rPr>
                <w:rFonts w:ascii="Times New Roman" w:hAnsi="Times New Roman" w:cs="Times New Roman"/>
                <w:sz w:val="20"/>
                <w:szCs w:val="20"/>
              </w:rPr>
              <w:t>ления средств (начала строитель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D22166" w:rsidRPr="007A2757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757">
              <w:rPr>
                <w:rFonts w:ascii="Times New Roman" w:hAnsi="Times New Roman" w:cs="Times New Roman"/>
                <w:sz w:val="20"/>
                <w:szCs w:val="20"/>
              </w:rPr>
              <w:t>Срок принятия объекта незавершенного строительства в казну Калтанского городского округа</w:t>
            </w:r>
          </w:p>
        </w:tc>
      </w:tr>
      <w:tr w:rsidR="00D22166" w:rsidRPr="00AE7C10" w:rsidTr="00D22166">
        <w:trPr>
          <w:trHeight w:val="817"/>
        </w:trPr>
        <w:tc>
          <w:tcPr>
            <w:tcW w:w="55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703"/>
        </w:trPr>
        <w:tc>
          <w:tcPr>
            <w:tcW w:w="55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Tr="00D22166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559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4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gridSpan w:val="2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4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F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2166" w:rsidTr="00D22166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559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D22166" w:rsidRPr="00E41F68" w:rsidRDefault="00D22166" w:rsidP="00D22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5F38" w:rsidRDefault="003A5F3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F38" w:rsidRDefault="003A5F3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F38" w:rsidRDefault="003A5F38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7C10">
        <w:rPr>
          <w:rFonts w:ascii="Times New Roman" w:hAnsi="Times New Roman" w:cs="Times New Roman"/>
          <w:sz w:val="24"/>
          <w:szCs w:val="24"/>
        </w:rPr>
        <w:t xml:space="preserve"> Положению об учете объектов незавершенного строительства,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при строительстве которых, были использованы средства всех уровней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на балансе 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округа, </w:t>
      </w:r>
      <w:proofErr w:type="gramStart"/>
      <w:r w:rsidRPr="00AE7C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казенных,</w:t>
      </w:r>
    </w:p>
    <w:p w:rsidR="003A5F38" w:rsidRDefault="003A5F38" w:rsidP="003A5F3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</w:t>
      </w:r>
      <w:r w:rsidRPr="00293507"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F38" w:rsidRPr="00AE7C10" w:rsidRDefault="003A5F38" w:rsidP="003A5F3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7C1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E7C10">
        <w:rPr>
          <w:rFonts w:ascii="Times New Roman" w:hAnsi="Times New Roman" w:cs="Times New Roman"/>
          <w:sz w:val="24"/>
          <w:szCs w:val="24"/>
        </w:rPr>
        <w:t xml:space="preserve"> в ведении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C10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</w:t>
      </w:r>
    </w:p>
    <w:p w:rsidR="003A5F38" w:rsidRPr="00AE7C10" w:rsidRDefault="003A5F38" w:rsidP="003A5F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E7C10">
        <w:rPr>
          <w:rFonts w:ascii="Times New Roman" w:hAnsi="Times New Roman" w:cs="Times New Roman"/>
          <w:sz w:val="28"/>
          <w:szCs w:val="28"/>
        </w:rPr>
        <w:t>Реестр объектов незавершенного строительства, при строительстве которых, были использованы средства всех уровней бюджетной системы Российской Ф</w:t>
      </w:r>
      <w:r>
        <w:rPr>
          <w:rFonts w:ascii="Times New Roman" w:hAnsi="Times New Roman" w:cs="Times New Roman"/>
          <w:sz w:val="28"/>
          <w:szCs w:val="28"/>
        </w:rPr>
        <w:t>едерации, состоящих на балансе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округа, муниципальных казенных, бюджетных и автономных учреждений,</w:t>
      </w:r>
      <w:r w:rsidRPr="0029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F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ведении а</w:t>
      </w:r>
      <w:r w:rsidRPr="00AE7C10">
        <w:rPr>
          <w:rFonts w:ascii="Times New Roman" w:hAnsi="Times New Roman" w:cs="Times New Roman"/>
          <w:sz w:val="28"/>
          <w:szCs w:val="28"/>
        </w:rPr>
        <w:t>дминистрации Калтанского городского округа</w:t>
      </w:r>
    </w:p>
    <w:p w:rsidR="00D22166" w:rsidRDefault="00D22166" w:rsidP="00D22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решения в отношении капитальных вложений, произведенных в объекты капитального строительства, строительство, реконструкция, в том числе с элементами реставрации, техническое перевооружение которых не начиналось</w:t>
      </w: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69"/>
        <w:gridCol w:w="1134"/>
        <w:gridCol w:w="1559"/>
        <w:gridCol w:w="1417"/>
        <w:gridCol w:w="709"/>
        <w:gridCol w:w="1276"/>
        <w:gridCol w:w="1134"/>
        <w:gridCol w:w="1134"/>
        <w:gridCol w:w="1559"/>
        <w:gridCol w:w="1843"/>
        <w:gridCol w:w="1559"/>
      </w:tblGrid>
      <w:tr w:rsidR="00D22166" w:rsidTr="00D22166">
        <w:trPr>
          <w:trHeight w:val="47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Заказчик, застройщик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Сметная стоимость, тыс. рублей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Планируемый период строительства</w:t>
            </w:r>
          </w:p>
          <w:p w:rsidR="00D22166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Годы фактического начала и прекращения строительства</w:t>
            </w:r>
          </w:p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Степень завершенности строительства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6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Документ-основание для 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средств (начала строитель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ства)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реализацию инвестиционного проекта, тыс. рублей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разработанной проектной документации</w:t>
            </w:r>
          </w:p>
        </w:tc>
        <w:tc>
          <w:tcPr>
            <w:tcW w:w="1843" w:type="dxa"/>
            <w:vMerge w:val="restart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Предлагаемые решения, в том числе с</w:t>
            </w:r>
            <w:r w:rsidR="003A5F38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обоснованием возможности/невоз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можности использования разработанной проектной документации</w:t>
            </w:r>
          </w:p>
        </w:tc>
        <w:tc>
          <w:tcPr>
            <w:tcW w:w="1559" w:type="dxa"/>
            <w:vMerge w:val="restart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предлагаемых решений</w:t>
            </w:r>
          </w:p>
        </w:tc>
      </w:tr>
      <w:tr w:rsidR="00D22166" w:rsidRPr="00AE7C10" w:rsidTr="00D22166"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Tr="00D22166">
        <w:tc>
          <w:tcPr>
            <w:tcW w:w="566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134" w:type="dxa"/>
            <w:shd w:val="clear" w:color="auto" w:fill="auto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2166" w:rsidRPr="00AE7C10" w:rsidTr="00D22166">
        <w:trPr>
          <w:trHeight w:val="262"/>
        </w:trPr>
        <w:tc>
          <w:tcPr>
            <w:tcW w:w="566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7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7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80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2166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94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2166" w:rsidRDefault="00D22166" w:rsidP="00D221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2166" w:rsidRPr="00AE7C10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166" w:rsidRDefault="00D22166" w:rsidP="00D22166">
            <w:pPr>
              <w:autoSpaceDE w:val="0"/>
              <w:autoSpaceDN w:val="0"/>
              <w:adjustRightInd w:val="0"/>
              <w:ind w:left="-66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166" w:rsidRPr="0014253C" w:rsidRDefault="00D22166" w:rsidP="00D221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241" w:rsidRPr="003D7241" w:rsidRDefault="003D7241" w:rsidP="003D72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3D7241" w:rsidRPr="003D7241" w:rsidSect="00D221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1DA7"/>
    <w:multiLevelType w:val="hybridMultilevel"/>
    <w:tmpl w:val="FCA4C164"/>
    <w:lvl w:ilvl="0" w:tplc="8D4635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112AD5"/>
    <w:multiLevelType w:val="multilevel"/>
    <w:tmpl w:val="63B0AB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2">
    <w:nsid w:val="5EF47FB1"/>
    <w:multiLevelType w:val="hybridMultilevel"/>
    <w:tmpl w:val="06925C30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FD"/>
    <w:rsid w:val="00023BF9"/>
    <w:rsid w:val="000578E8"/>
    <w:rsid w:val="000749D8"/>
    <w:rsid w:val="00093B10"/>
    <w:rsid w:val="00101DBD"/>
    <w:rsid w:val="001055AF"/>
    <w:rsid w:val="001063F4"/>
    <w:rsid w:val="0012633E"/>
    <w:rsid w:val="00192D61"/>
    <w:rsid w:val="001B5598"/>
    <w:rsid w:val="001C175E"/>
    <w:rsid w:val="001D10FA"/>
    <w:rsid w:val="001E7986"/>
    <w:rsid w:val="00203CE6"/>
    <w:rsid w:val="00216B5E"/>
    <w:rsid w:val="00231BAD"/>
    <w:rsid w:val="002830FE"/>
    <w:rsid w:val="002D76E1"/>
    <w:rsid w:val="00311979"/>
    <w:rsid w:val="00313629"/>
    <w:rsid w:val="003257BD"/>
    <w:rsid w:val="00343EDF"/>
    <w:rsid w:val="003A5F38"/>
    <w:rsid w:val="003B3A75"/>
    <w:rsid w:val="003D7241"/>
    <w:rsid w:val="003E432D"/>
    <w:rsid w:val="00494E54"/>
    <w:rsid w:val="004C050B"/>
    <w:rsid w:val="00514EB6"/>
    <w:rsid w:val="005206AB"/>
    <w:rsid w:val="0056021B"/>
    <w:rsid w:val="00582FBF"/>
    <w:rsid w:val="005B1126"/>
    <w:rsid w:val="005D296C"/>
    <w:rsid w:val="005D5D85"/>
    <w:rsid w:val="005F1FAB"/>
    <w:rsid w:val="00605E9E"/>
    <w:rsid w:val="00613F93"/>
    <w:rsid w:val="006244D4"/>
    <w:rsid w:val="00670D6E"/>
    <w:rsid w:val="00683798"/>
    <w:rsid w:val="00683E17"/>
    <w:rsid w:val="00684249"/>
    <w:rsid w:val="006F0260"/>
    <w:rsid w:val="00706E73"/>
    <w:rsid w:val="007303B3"/>
    <w:rsid w:val="00747AA0"/>
    <w:rsid w:val="00770FF4"/>
    <w:rsid w:val="00783C1B"/>
    <w:rsid w:val="007A26C4"/>
    <w:rsid w:val="007D32A2"/>
    <w:rsid w:val="00816232"/>
    <w:rsid w:val="0082395F"/>
    <w:rsid w:val="00830B74"/>
    <w:rsid w:val="00867BEC"/>
    <w:rsid w:val="00871071"/>
    <w:rsid w:val="008B6DC2"/>
    <w:rsid w:val="008C040F"/>
    <w:rsid w:val="008C2AF1"/>
    <w:rsid w:val="008E0AA2"/>
    <w:rsid w:val="0092221B"/>
    <w:rsid w:val="009C2523"/>
    <w:rsid w:val="009C55B7"/>
    <w:rsid w:val="00A25D28"/>
    <w:rsid w:val="00A31A2C"/>
    <w:rsid w:val="00A5092C"/>
    <w:rsid w:val="00A71EFF"/>
    <w:rsid w:val="00AE3ACD"/>
    <w:rsid w:val="00AE3E50"/>
    <w:rsid w:val="00AF5FE9"/>
    <w:rsid w:val="00B11BE3"/>
    <w:rsid w:val="00B20BC5"/>
    <w:rsid w:val="00B47470"/>
    <w:rsid w:val="00B81540"/>
    <w:rsid w:val="00BB1E14"/>
    <w:rsid w:val="00BC3E9C"/>
    <w:rsid w:val="00C1031F"/>
    <w:rsid w:val="00C76174"/>
    <w:rsid w:val="00CA7CBA"/>
    <w:rsid w:val="00CB7198"/>
    <w:rsid w:val="00D22166"/>
    <w:rsid w:val="00D33152"/>
    <w:rsid w:val="00D6774D"/>
    <w:rsid w:val="00D80032"/>
    <w:rsid w:val="00D90844"/>
    <w:rsid w:val="00DF41CE"/>
    <w:rsid w:val="00E47C52"/>
    <w:rsid w:val="00E621D6"/>
    <w:rsid w:val="00E83F4C"/>
    <w:rsid w:val="00EF4C24"/>
    <w:rsid w:val="00F02EFD"/>
    <w:rsid w:val="00F11811"/>
    <w:rsid w:val="00F56DC8"/>
    <w:rsid w:val="00F9084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1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5"/>
    <w:uiPriority w:val="1"/>
    <w:qFormat/>
    <w:rsid w:val="006244D4"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6244D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7241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D221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22166"/>
    <w:rPr>
      <w:rFonts w:ascii="Arial" w:eastAsia="Arial" w:hAnsi="Arial" w:cs="Arial"/>
      <w:sz w:val="10"/>
      <w:szCs w:val="10"/>
      <w:lang w:eastAsia="ru-RU" w:bidi="ru-RU"/>
    </w:rPr>
  </w:style>
  <w:style w:type="paragraph" w:styleId="a9">
    <w:name w:val="List Paragraph"/>
    <w:basedOn w:val="a"/>
    <w:uiPriority w:val="99"/>
    <w:qFormat/>
    <w:rsid w:val="001D10F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1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5"/>
    <w:uiPriority w:val="1"/>
    <w:qFormat/>
    <w:rsid w:val="006244D4"/>
    <w:pPr>
      <w:spacing w:after="0" w:line="240" w:lineRule="auto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6244D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7241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D221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22166"/>
    <w:rPr>
      <w:rFonts w:ascii="Arial" w:eastAsia="Arial" w:hAnsi="Arial" w:cs="Arial"/>
      <w:sz w:val="10"/>
      <w:szCs w:val="10"/>
      <w:lang w:eastAsia="ru-RU" w:bidi="ru-RU"/>
    </w:rPr>
  </w:style>
  <w:style w:type="paragraph" w:styleId="a9">
    <w:name w:val="List Paragraph"/>
    <w:basedOn w:val="a"/>
    <w:uiPriority w:val="99"/>
    <w:qFormat/>
    <w:rsid w:val="001D10F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1" TargetMode="External"/><Relationship Id="rId13" Type="http://schemas.openxmlformats.org/officeDocument/2006/relationships/hyperlink" Target="http://docs.cntd.ru/document/90180912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64072.225" TargetMode="External"/><Relationship Id="rId12" Type="http://schemas.openxmlformats.org/officeDocument/2006/relationships/hyperlink" Target="http://docs.cntd.ru/document/901809128" TargetMode="External"/><Relationship Id="rId17" Type="http://schemas.openxmlformats.org/officeDocument/2006/relationships/hyperlink" Target="http://docs.cntd.ru/document/90194133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4133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86367.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41331" TargetMode="External"/><Relationship Id="rId10" Type="http://schemas.openxmlformats.org/officeDocument/2006/relationships/hyperlink" Target="garantF1://10064072.2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9440153.44" TargetMode="External"/><Relationship Id="rId14" Type="http://schemas.openxmlformats.org/officeDocument/2006/relationships/hyperlink" Target="http://docs.cntd.ru/document/901809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Добуш Мария Владимировна</cp:lastModifiedBy>
  <cp:revision>2</cp:revision>
  <cp:lastPrinted>2018-09-26T07:35:00Z</cp:lastPrinted>
  <dcterms:created xsi:type="dcterms:W3CDTF">2019-04-23T09:04:00Z</dcterms:created>
  <dcterms:modified xsi:type="dcterms:W3CDTF">2019-04-23T09:04:00Z</dcterms:modified>
</cp:coreProperties>
</file>