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589" w:rsidRDefault="003F3589" w:rsidP="008F7EF6">
      <w:pPr>
        <w:tabs>
          <w:tab w:val="left" w:pos="9540"/>
        </w:tabs>
        <w:jc w:val="center"/>
      </w:pPr>
      <w:r w:rsidRPr="00803870">
        <w:t xml:space="preserve">                        </w:t>
      </w:r>
      <w:r w:rsidR="00A16F93" w:rsidRPr="00803870">
        <w:t xml:space="preserve">                                       </w:t>
      </w:r>
      <w:r w:rsidR="00803870" w:rsidRPr="00803870">
        <w:t xml:space="preserve">                                                            </w:t>
      </w:r>
      <w:r w:rsidR="00A16F93" w:rsidRPr="00803870">
        <w:t xml:space="preserve">                                                                                                                                 </w:t>
      </w:r>
      <w:r w:rsidR="00A16F93" w:rsidRPr="00803870">
        <w:rPr>
          <w:sz w:val="28"/>
          <w:szCs w:val="28"/>
        </w:rPr>
        <w:t xml:space="preserve">       </w:t>
      </w:r>
      <w:r w:rsidR="00A16F93" w:rsidRPr="00803870">
        <w:t xml:space="preserve">                                                                                                                                                                      </w:t>
      </w:r>
      <w:r w:rsidR="00A16F93" w:rsidRPr="00803870">
        <w:rPr>
          <w:sz w:val="28"/>
          <w:szCs w:val="28"/>
        </w:rPr>
        <w:t xml:space="preserve">       </w:t>
      </w:r>
      <w:r w:rsidR="00A16F93" w:rsidRPr="00803870">
        <w:t xml:space="preserve">                                                                                </w:t>
      </w:r>
      <w:r w:rsidRPr="00803870">
        <w:t xml:space="preserve">                                                                                                    </w:t>
      </w:r>
      <w:r w:rsidRPr="00803870">
        <w:rPr>
          <w:sz w:val="28"/>
          <w:szCs w:val="28"/>
        </w:rPr>
        <w:t xml:space="preserve">        </w:t>
      </w:r>
      <w:r w:rsidRPr="00803870">
        <w:t xml:space="preserve">                                                                                </w:t>
      </w:r>
      <w:r w:rsidR="00DF52A3">
        <w:rPr>
          <w:noProof/>
        </w:rPr>
        <w:drawing>
          <wp:inline distT="0" distB="0" distL="0" distR="0">
            <wp:extent cx="800100" cy="981075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89" w:rsidRDefault="003F3589" w:rsidP="00074893">
      <w:pPr>
        <w:pStyle w:val="8"/>
        <w:pBdr>
          <w:bottom w:val="double" w:sz="12" w:space="0" w:color="auto"/>
        </w:pBdr>
        <w:spacing w:before="0" w:after="0"/>
        <w:jc w:val="center"/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</w:pPr>
      <w:r w:rsidRPr="00021FAD"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>РОССИЙСКАЯ ФЕДЕРАЦИЯ</w:t>
      </w:r>
    </w:p>
    <w:p w:rsidR="003F3589" w:rsidRDefault="003F3589" w:rsidP="00074893">
      <w:pPr>
        <w:pStyle w:val="8"/>
        <w:pBdr>
          <w:bottom w:val="double" w:sz="12" w:space="0" w:color="auto"/>
        </w:pBdr>
        <w:spacing w:before="0" w:after="0"/>
        <w:jc w:val="center"/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</w:pPr>
      <w:r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>Кемеровская область</w:t>
      </w:r>
      <w:r w:rsidR="00C6727A"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>-Кузбасс</w:t>
      </w:r>
    </w:p>
    <w:p w:rsidR="003F3589" w:rsidRDefault="003F3589" w:rsidP="00074893">
      <w:pPr>
        <w:pStyle w:val="8"/>
        <w:pBdr>
          <w:bottom w:val="double" w:sz="12" w:space="0" w:color="auto"/>
        </w:pBdr>
        <w:spacing w:before="0" w:after="0"/>
        <w:jc w:val="center"/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</w:pPr>
      <w:r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>Калтанский городской округ</w:t>
      </w:r>
    </w:p>
    <w:p w:rsidR="003F3589" w:rsidRPr="00074893" w:rsidRDefault="003F3589" w:rsidP="000B705A">
      <w:pPr>
        <w:pStyle w:val="8"/>
        <w:pBdr>
          <w:bottom w:val="double" w:sz="12" w:space="0" w:color="auto"/>
        </w:pBdr>
        <w:spacing w:before="0" w:after="0"/>
        <w:jc w:val="center"/>
        <w:rPr>
          <w:rFonts w:ascii="Times New Roman" w:hAnsi="Times New Roman"/>
          <w:b/>
          <w:bCs/>
          <w:i w:val="0"/>
          <w:iCs/>
          <w:spacing w:val="20"/>
          <w:sz w:val="36"/>
        </w:rPr>
      </w:pPr>
      <w:r>
        <w:rPr>
          <w:rFonts w:ascii="Times New Roman" w:hAnsi="Times New Roman"/>
          <w:b/>
          <w:bCs/>
          <w:i w:val="0"/>
          <w:iCs/>
          <w:spacing w:val="20"/>
          <w:sz w:val="36"/>
        </w:rPr>
        <w:t>Совет народных депутатов</w:t>
      </w:r>
    </w:p>
    <w:p w:rsidR="003F3589" w:rsidRDefault="003F3589" w:rsidP="000B705A">
      <w:pPr>
        <w:pStyle w:val="8"/>
        <w:pBdr>
          <w:bottom w:val="double" w:sz="12" w:space="0" w:color="auto"/>
        </w:pBdr>
        <w:spacing w:before="0" w:after="0"/>
        <w:jc w:val="center"/>
        <w:rPr>
          <w:rFonts w:ascii="Times New Roman" w:hAnsi="Times New Roman"/>
          <w:b/>
          <w:bCs/>
          <w:i w:val="0"/>
          <w:iCs/>
          <w:spacing w:val="20"/>
          <w:sz w:val="36"/>
        </w:rPr>
      </w:pPr>
      <w:r>
        <w:rPr>
          <w:rFonts w:ascii="Times New Roman" w:hAnsi="Times New Roman"/>
          <w:b/>
          <w:bCs/>
          <w:i w:val="0"/>
          <w:iCs/>
          <w:spacing w:val="20"/>
          <w:sz w:val="36"/>
        </w:rPr>
        <w:t xml:space="preserve"> Калтанского городского округа</w:t>
      </w:r>
    </w:p>
    <w:p w:rsidR="003F3589" w:rsidRDefault="0056652F" w:rsidP="00D3670E">
      <w:pPr>
        <w:pStyle w:val="8"/>
        <w:pBdr>
          <w:bottom w:val="double" w:sz="12" w:space="0" w:color="auto"/>
        </w:pBdr>
        <w:spacing w:before="0" w:after="0"/>
        <w:jc w:val="center"/>
      </w:pPr>
      <w:r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 xml:space="preserve">  </w:t>
      </w:r>
      <w:r w:rsidR="00D71695"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 xml:space="preserve">(шестой созыв, </w:t>
      </w:r>
      <w:r w:rsidR="00C71982"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>пятнадцатое</w:t>
      </w:r>
      <w:r w:rsidR="00D3670E">
        <w:rPr>
          <w:rFonts w:ascii="Times New Roman" w:hAnsi="Times New Roman"/>
          <w:b/>
          <w:bCs/>
          <w:i w:val="0"/>
          <w:iCs/>
          <w:spacing w:val="20"/>
          <w:sz w:val="32"/>
          <w:szCs w:val="32"/>
        </w:rPr>
        <w:t xml:space="preserve"> заседание)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108"/>
      </w:tblGrid>
      <w:tr w:rsidR="003F3589" w:rsidTr="007F4F8D">
        <w:trPr>
          <w:cantSplit/>
          <w:jc w:val="center"/>
        </w:trPr>
        <w:tc>
          <w:tcPr>
            <w:tcW w:w="9108" w:type="dxa"/>
          </w:tcPr>
          <w:p w:rsidR="00276384" w:rsidRDefault="00276384" w:rsidP="007F4F8D">
            <w:pPr>
              <w:pStyle w:val="3"/>
              <w:jc w:val="center"/>
              <w:rPr>
                <w:rFonts w:ascii="Times New Roman" w:hAnsi="Times New Roman"/>
                <w:i w:val="0"/>
                <w:iCs/>
                <w:sz w:val="44"/>
              </w:rPr>
            </w:pPr>
          </w:p>
          <w:p w:rsidR="003F3589" w:rsidRDefault="003F3589" w:rsidP="007F4F8D">
            <w:pPr>
              <w:pStyle w:val="3"/>
              <w:jc w:val="center"/>
              <w:rPr>
                <w:rFonts w:ascii="Times New Roman" w:hAnsi="Times New Roman"/>
                <w:i w:val="0"/>
                <w:iCs/>
                <w:sz w:val="44"/>
              </w:rPr>
            </w:pPr>
            <w:r>
              <w:rPr>
                <w:rFonts w:ascii="Times New Roman" w:hAnsi="Times New Roman"/>
                <w:i w:val="0"/>
                <w:iCs/>
                <w:sz w:val="44"/>
              </w:rPr>
              <w:t>Р Е Ш Е Н И Е</w:t>
            </w:r>
          </w:p>
        </w:tc>
      </w:tr>
    </w:tbl>
    <w:p w:rsidR="003F3589" w:rsidRDefault="003F3589" w:rsidP="00AD4AB7">
      <w:pPr>
        <w:pStyle w:val="31"/>
        <w:jc w:val="center"/>
        <w:rPr>
          <w:rFonts w:cs="Times New Roman"/>
          <w:sz w:val="8"/>
        </w:rPr>
      </w:pPr>
    </w:p>
    <w:p w:rsidR="003F3589" w:rsidRDefault="003F3589" w:rsidP="00AD4AB7">
      <w:pPr>
        <w:spacing w:line="360" w:lineRule="atLeast"/>
        <w:rPr>
          <w:b/>
          <w:sz w:val="32"/>
          <w:lang w:val="en-US"/>
        </w:rPr>
      </w:pPr>
    </w:p>
    <w:p w:rsidR="003F3589" w:rsidRPr="00DF01C7" w:rsidRDefault="00486C5E" w:rsidP="00DF01C7">
      <w:pPr>
        <w:spacing w:line="360" w:lineRule="atLeast"/>
        <w:jc w:val="center"/>
        <w:rPr>
          <w:b/>
          <w:sz w:val="28"/>
          <w:szCs w:val="28"/>
        </w:rPr>
      </w:pPr>
      <w:r w:rsidRPr="00DF01C7">
        <w:rPr>
          <w:b/>
          <w:sz w:val="28"/>
          <w:szCs w:val="28"/>
        </w:rPr>
        <w:t>от  «</w:t>
      </w:r>
      <w:r w:rsidR="00637C21">
        <w:rPr>
          <w:b/>
          <w:sz w:val="28"/>
          <w:szCs w:val="28"/>
        </w:rPr>
        <w:t>30</w:t>
      </w:r>
      <w:r w:rsidR="00615C14" w:rsidRPr="00DF01C7">
        <w:rPr>
          <w:b/>
          <w:sz w:val="28"/>
          <w:szCs w:val="28"/>
        </w:rPr>
        <w:t>»</w:t>
      </w:r>
      <w:r w:rsidR="00637C21">
        <w:rPr>
          <w:b/>
          <w:sz w:val="28"/>
          <w:szCs w:val="28"/>
        </w:rPr>
        <w:t xml:space="preserve"> ноября </w:t>
      </w:r>
      <w:r w:rsidR="008F40A8" w:rsidRPr="00DF01C7">
        <w:rPr>
          <w:b/>
          <w:sz w:val="28"/>
          <w:szCs w:val="28"/>
        </w:rPr>
        <w:t>202</w:t>
      </w:r>
      <w:r w:rsidR="003C03A7">
        <w:rPr>
          <w:b/>
          <w:sz w:val="28"/>
          <w:szCs w:val="28"/>
        </w:rPr>
        <w:t>2</w:t>
      </w:r>
      <w:r w:rsidR="00DF01C7">
        <w:rPr>
          <w:b/>
          <w:sz w:val="28"/>
          <w:szCs w:val="28"/>
        </w:rPr>
        <w:t xml:space="preserve"> </w:t>
      </w:r>
      <w:r w:rsidR="00276384">
        <w:rPr>
          <w:b/>
          <w:sz w:val="28"/>
          <w:szCs w:val="28"/>
        </w:rPr>
        <w:t>года</w:t>
      </w:r>
      <w:r w:rsidR="003F3589" w:rsidRPr="00DF01C7">
        <w:rPr>
          <w:b/>
          <w:sz w:val="28"/>
          <w:szCs w:val="28"/>
        </w:rPr>
        <w:t xml:space="preserve"> </w:t>
      </w:r>
      <w:r w:rsidR="00502277" w:rsidRPr="00DF01C7">
        <w:rPr>
          <w:b/>
          <w:sz w:val="28"/>
          <w:szCs w:val="28"/>
        </w:rPr>
        <w:t xml:space="preserve">  </w:t>
      </w:r>
      <w:r w:rsidR="003F3589" w:rsidRPr="00DF01C7">
        <w:rPr>
          <w:b/>
          <w:sz w:val="28"/>
          <w:szCs w:val="28"/>
        </w:rPr>
        <w:t>№</w:t>
      </w:r>
      <w:r w:rsidR="00637C21">
        <w:rPr>
          <w:b/>
          <w:sz w:val="28"/>
          <w:szCs w:val="28"/>
        </w:rPr>
        <w:t>56</w:t>
      </w:r>
      <w:r w:rsidR="00502277" w:rsidRPr="00DF01C7">
        <w:rPr>
          <w:b/>
          <w:sz w:val="28"/>
          <w:szCs w:val="28"/>
        </w:rPr>
        <w:t>-</w:t>
      </w:r>
      <w:r w:rsidR="005779C9" w:rsidRPr="00DF01C7">
        <w:rPr>
          <w:sz w:val="28"/>
          <w:szCs w:val="28"/>
        </w:rPr>
        <w:t>НПА</w:t>
      </w:r>
    </w:p>
    <w:p w:rsidR="00EA2584" w:rsidRPr="00DF01C7" w:rsidRDefault="00EA2584" w:rsidP="00DF01C7">
      <w:pPr>
        <w:spacing w:line="360" w:lineRule="atLeast"/>
        <w:rPr>
          <w:b/>
          <w:sz w:val="28"/>
          <w:szCs w:val="28"/>
        </w:rPr>
      </w:pPr>
    </w:p>
    <w:p w:rsidR="00276384" w:rsidRDefault="00307192" w:rsidP="00253CA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 </w:t>
      </w:r>
      <w:r w:rsidR="00913866">
        <w:rPr>
          <w:b/>
          <w:i/>
          <w:sz w:val="28"/>
          <w:szCs w:val="28"/>
        </w:rPr>
        <w:t>в</w:t>
      </w:r>
      <w:r>
        <w:rPr>
          <w:b/>
          <w:i/>
          <w:sz w:val="28"/>
          <w:szCs w:val="28"/>
        </w:rPr>
        <w:t xml:space="preserve">несении изменений </w:t>
      </w:r>
      <w:r w:rsidR="003C03A7">
        <w:rPr>
          <w:b/>
          <w:i/>
          <w:sz w:val="28"/>
          <w:szCs w:val="28"/>
        </w:rPr>
        <w:t>в решение Совета народных депутатов Калтанского городского округа от 23.12.2021</w:t>
      </w:r>
      <w:r w:rsidR="00253CAF">
        <w:rPr>
          <w:b/>
          <w:i/>
          <w:sz w:val="28"/>
          <w:szCs w:val="28"/>
        </w:rPr>
        <w:t xml:space="preserve"> №14-НПА</w:t>
      </w:r>
    </w:p>
    <w:p w:rsidR="00276384" w:rsidRDefault="003C03A7" w:rsidP="003C03A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«</w:t>
      </w:r>
      <w:r w:rsidRPr="003C03A7">
        <w:rPr>
          <w:b/>
          <w:i/>
          <w:sz w:val="28"/>
          <w:szCs w:val="28"/>
        </w:rPr>
        <w:t xml:space="preserve">Об утверждении Правил благоустройства территории </w:t>
      </w:r>
    </w:p>
    <w:p w:rsidR="00117783" w:rsidRDefault="003C03A7" w:rsidP="003C03A7">
      <w:pPr>
        <w:jc w:val="center"/>
        <w:rPr>
          <w:b/>
          <w:i/>
          <w:sz w:val="28"/>
          <w:szCs w:val="28"/>
        </w:rPr>
      </w:pPr>
      <w:r w:rsidRPr="003C03A7">
        <w:rPr>
          <w:b/>
          <w:i/>
          <w:sz w:val="28"/>
          <w:szCs w:val="28"/>
        </w:rPr>
        <w:t>Калтанского городского округа</w:t>
      </w:r>
      <w:r>
        <w:rPr>
          <w:b/>
          <w:i/>
          <w:sz w:val="28"/>
          <w:szCs w:val="28"/>
        </w:rPr>
        <w:t>»</w:t>
      </w:r>
      <w:r w:rsidR="00330DC1">
        <w:rPr>
          <w:b/>
          <w:i/>
          <w:sz w:val="28"/>
          <w:szCs w:val="28"/>
        </w:rPr>
        <w:t xml:space="preserve"> </w:t>
      </w:r>
    </w:p>
    <w:p w:rsidR="001A333F" w:rsidRDefault="00330DC1" w:rsidP="003C03A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(в редакции решения от 24.03.2022   №27-НПА)</w:t>
      </w:r>
    </w:p>
    <w:p w:rsidR="001A333F" w:rsidRDefault="001A333F" w:rsidP="00564FAA">
      <w:pPr>
        <w:jc w:val="center"/>
        <w:rPr>
          <w:b/>
          <w:i/>
          <w:sz w:val="28"/>
          <w:szCs w:val="28"/>
        </w:rPr>
      </w:pPr>
    </w:p>
    <w:p w:rsidR="001A333F" w:rsidRDefault="001A333F" w:rsidP="0027638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принято Советом народных депутатов </w:t>
      </w:r>
    </w:p>
    <w:p w:rsidR="001A333F" w:rsidRDefault="001A333F" w:rsidP="00276384">
      <w:pPr>
        <w:jc w:val="right"/>
        <w:rPr>
          <w:sz w:val="28"/>
          <w:szCs w:val="28"/>
        </w:rPr>
      </w:pPr>
      <w:r>
        <w:rPr>
          <w:sz w:val="28"/>
          <w:szCs w:val="28"/>
        </w:rPr>
        <w:t>Калтанского городского округа</w:t>
      </w:r>
    </w:p>
    <w:p w:rsidR="000676EF" w:rsidRDefault="000676EF" w:rsidP="0027638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3C03A7" w:rsidRPr="003C03A7">
        <w:rPr>
          <w:sz w:val="28"/>
          <w:szCs w:val="28"/>
        </w:rPr>
        <w:t xml:space="preserve"> </w:t>
      </w:r>
      <w:r w:rsidR="00DF01C7">
        <w:rPr>
          <w:sz w:val="28"/>
          <w:szCs w:val="28"/>
        </w:rPr>
        <w:t>«___» ________</w:t>
      </w:r>
      <w:r w:rsidR="001A333F">
        <w:rPr>
          <w:sz w:val="28"/>
          <w:szCs w:val="28"/>
        </w:rPr>
        <w:t>202</w:t>
      </w:r>
      <w:r w:rsidR="003C03A7">
        <w:rPr>
          <w:sz w:val="28"/>
          <w:szCs w:val="28"/>
        </w:rPr>
        <w:t>2</w:t>
      </w:r>
      <w:r w:rsidR="001A333F">
        <w:rPr>
          <w:sz w:val="28"/>
          <w:szCs w:val="28"/>
        </w:rPr>
        <w:t xml:space="preserve"> года</w:t>
      </w:r>
    </w:p>
    <w:p w:rsidR="000676EF" w:rsidRDefault="000676EF" w:rsidP="000676EF">
      <w:pPr>
        <w:jc w:val="center"/>
        <w:rPr>
          <w:sz w:val="28"/>
          <w:szCs w:val="28"/>
        </w:rPr>
      </w:pPr>
    </w:p>
    <w:p w:rsidR="00117783" w:rsidRDefault="00117783" w:rsidP="000676EF">
      <w:pPr>
        <w:jc w:val="center"/>
        <w:rPr>
          <w:sz w:val="28"/>
          <w:szCs w:val="28"/>
        </w:rPr>
      </w:pPr>
    </w:p>
    <w:p w:rsidR="008D05E0" w:rsidRPr="0084225C" w:rsidRDefault="008D05E0" w:rsidP="008D05E0">
      <w:pPr>
        <w:shd w:val="clear" w:color="auto" w:fill="FFFFFF"/>
        <w:spacing w:line="288" w:lineRule="atLeast"/>
        <w:ind w:firstLine="709"/>
        <w:jc w:val="both"/>
        <w:textAlignment w:val="baseline"/>
        <w:rPr>
          <w:sz w:val="28"/>
          <w:szCs w:val="28"/>
        </w:rPr>
      </w:pPr>
      <w:r w:rsidRPr="0084225C">
        <w:rPr>
          <w:sz w:val="28"/>
          <w:szCs w:val="28"/>
        </w:rPr>
        <w:t xml:space="preserve">В соответствии с Федеральным </w:t>
      </w:r>
      <w:hyperlink r:id="rId9" w:history="1">
        <w:r w:rsidRPr="0084225C">
          <w:rPr>
            <w:sz w:val="28"/>
            <w:szCs w:val="28"/>
          </w:rPr>
          <w:t>законом</w:t>
        </w:r>
      </w:hyperlink>
      <w:r w:rsidRPr="0084225C">
        <w:rPr>
          <w:sz w:val="28"/>
          <w:szCs w:val="28"/>
        </w:rPr>
        <w:t xml:space="preserve"> от 06.10.2003 года №131-ФЗ  «Об общих принципах организации местного самоуправления в Российской Федерации», Законом Кемеровской области</w:t>
      </w:r>
      <w:r>
        <w:rPr>
          <w:sz w:val="28"/>
          <w:szCs w:val="28"/>
        </w:rPr>
        <w:t xml:space="preserve"> - Кузбасса от 12.07.2006 года №98</w:t>
      </w:r>
      <w:r w:rsidRPr="0084225C">
        <w:rPr>
          <w:sz w:val="28"/>
          <w:szCs w:val="28"/>
        </w:rPr>
        <w:t xml:space="preserve">-ОЗ </w:t>
      </w:r>
      <w:r>
        <w:rPr>
          <w:sz w:val="28"/>
          <w:szCs w:val="28"/>
        </w:rPr>
        <w:t>«О градостроительстве, комплексном развитии т</w:t>
      </w:r>
      <w:r w:rsidR="00C71982">
        <w:rPr>
          <w:sz w:val="28"/>
          <w:szCs w:val="28"/>
        </w:rPr>
        <w:t>ерриторий и благоустройстве Куз</w:t>
      </w:r>
      <w:r>
        <w:rPr>
          <w:sz w:val="28"/>
          <w:szCs w:val="28"/>
        </w:rPr>
        <w:t xml:space="preserve">басса», </w:t>
      </w:r>
      <w:r w:rsidRPr="0084225C">
        <w:rPr>
          <w:sz w:val="28"/>
          <w:szCs w:val="28"/>
        </w:rPr>
        <w:t xml:space="preserve">Законом Кемеровской области от 16.06.2006 года  №89-ОЗ «Об административных правонарушениях в Кемеровской области», </w:t>
      </w:r>
      <w:hyperlink r:id="rId10" w:history="1">
        <w:r w:rsidRPr="0084225C">
          <w:rPr>
            <w:sz w:val="28"/>
            <w:szCs w:val="28"/>
          </w:rPr>
          <w:t>Уставом</w:t>
        </w:r>
      </w:hyperlink>
      <w:r w:rsidRPr="0084225C">
        <w:rPr>
          <w:sz w:val="28"/>
          <w:szCs w:val="28"/>
        </w:rPr>
        <w:t xml:space="preserve"> </w:t>
      </w:r>
      <w:r>
        <w:rPr>
          <w:sz w:val="28"/>
          <w:szCs w:val="28"/>
        </w:rPr>
        <w:t>Калтанского городского</w:t>
      </w:r>
      <w:r w:rsidRPr="0084225C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Кемеровской области - Кузбасса</w:t>
      </w:r>
      <w:r w:rsidRPr="0084225C">
        <w:rPr>
          <w:sz w:val="28"/>
          <w:szCs w:val="28"/>
        </w:rPr>
        <w:t xml:space="preserve">, в целях контроля за осуществлением мероприятий по благоустройству территории, Совет народных депутатов Калтанского городского округа </w:t>
      </w:r>
    </w:p>
    <w:p w:rsidR="000676EF" w:rsidRDefault="000676EF" w:rsidP="00276384">
      <w:pPr>
        <w:jc w:val="both"/>
        <w:rPr>
          <w:sz w:val="28"/>
          <w:szCs w:val="28"/>
        </w:rPr>
      </w:pPr>
    </w:p>
    <w:p w:rsidR="000676EF" w:rsidRDefault="00276384" w:rsidP="002763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0676EF" w:rsidRPr="000676EF">
        <w:rPr>
          <w:b/>
          <w:sz w:val="28"/>
          <w:szCs w:val="28"/>
        </w:rPr>
        <w:t>РЕШИЛ:</w:t>
      </w:r>
    </w:p>
    <w:p w:rsidR="000676EF" w:rsidRDefault="000676EF" w:rsidP="00276384">
      <w:pPr>
        <w:jc w:val="both"/>
        <w:rPr>
          <w:b/>
          <w:sz w:val="28"/>
          <w:szCs w:val="28"/>
        </w:rPr>
      </w:pPr>
    </w:p>
    <w:p w:rsidR="000676EF" w:rsidRPr="00276384" w:rsidRDefault="00276384" w:rsidP="00253CAF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676EF" w:rsidRPr="000676EF">
        <w:rPr>
          <w:sz w:val="28"/>
          <w:szCs w:val="28"/>
        </w:rPr>
        <w:t>1</w:t>
      </w:r>
      <w:r w:rsidR="000676EF">
        <w:rPr>
          <w:sz w:val="28"/>
          <w:szCs w:val="28"/>
        </w:rPr>
        <w:t>.</w:t>
      </w:r>
      <w:r w:rsidR="000676EF" w:rsidRPr="000676EF">
        <w:rPr>
          <w:sz w:val="28"/>
          <w:szCs w:val="28"/>
        </w:rPr>
        <w:t xml:space="preserve"> Внести в Правила благоустройства территории Калтанского городского округа</w:t>
      </w:r>
      <w:r>
        <w:rPr>
          <w:sz w:val="28"/>
          <w:szCs w:val="28"/>
        </w:rPr>
        <w:t>, утвержденные решением</w:t>
      </w:r>
      <w:r w:rsidRPr="00276384">
        <w:rPr>
          <w:b/>
          <w:i/>
          <w:sz w:val="28"/>
          <w:szCs w:val="28"/>
        </w:rPr>
        <w:t xml:space="preserve"> </w:t>
      </w:r>
      <w:r w:rsidRPr="00276384">
        <w:rPr>
          <w:sz w:val="28"/>
          <w:szCs w:val="28"/>
        </w:rPr>
        <w:t>Совета народных</w:t>
      </w:r>
      <w:r>
        <w:rPr>
          <w:b/>
          <w:i/>
          <w:sz w:val="28"/>
          <w:szCs w:val="28"/>
        </w:rPr>
        <w:t xml:space="preserve"> </w:t>
      </w:r>
      <w:r w:rsidRPr="00276384">
        <w:rPr>
          <w:sz w:val="28"/>
          <w:szCs w:val="28"/>
        </w:rPr>
        <w:t xml:space="preserve">депутатов Калтанского городского округа от 23.12.2021 </w:t>
      </w:r>
      <w:r w:rsidR="00253CAF" w:rsidRPr="00276384">
        <w:rPr>
          <w:sz w:val="28"/>
          <w:szCs w:val="28"/>
        </w:rPr>
        <w:t>№14-НПА</w:t>
      </w:r>
      <w:r w:rsidR="00253CAF">
        <w:rPr>
          <w:sz w:val="28"/>
          <w:szCs w:val="28"/>
        </w:rPr>
        <w:t xml:space="preserve"> </w:t>
      </w:r>
      <w:r w:rsidRPr="00276384">
        <w:rPr>
          <w:sz w:val="28"/>
          <w:szCs w:val="28"/>
        </w:rPr>
        <w:t>«Об утверждении Правил благоустройства территории Калтанского городского округа</w:t>
      </w:r>
      <w:r w:rsidR="00330DC1">
        <w:rPr>
          <w:sz w:val="28"/>
          <w:szCs w:val="28"/>
        </w:rPr>
        <w:t xml:space="preserve"> (</w:t>
      </w:r>
      <w:r w:rsidR="000F5585">
        <w:rPr>
          <w:sz w:val="28"/>
          <w:szCs w:val="28"/>
        </w:rPr>
        <w:t xml:space="preserve">в </w:t>
      </w:r>
      <w:r w:rsidR="00330DC1">
        <w:rPr>
          <w:sz w:val="28"/>
          <w:szCs w:val="28"/>
        </w:rPr>
        <w:t xml:space="preserve">редакции решения </w:t>
      </w:r>
      <w:r w:rsidR="00330DC1">
        <w:rPr>
          <w:sz w:val="28"/>
          <w:szCs w:val="28"/>
        </w:rPr>
        <w:lastRenderedPageBreak/>
        <w:t xml:space="preserve">Совета народных депутатов Калтанского </w:t>
      </w:r>
      <w:r w:rsidR="000F5585">
        <w:rPr>
          <w:sz w:val="28"/>
          <w:szCs w:val="28"/>
        </w:rPr>
        <w:t>городского округа от 24.03.20</w:t>
      </w:r>
      <w:r w:rsidR="00330DC1">
        <w:rPr>
          <w:sz w:val="28"/>
          <w:szCs w:val="28"/>
        </w:rPr>
        <w:t xml:space="preserve">22  </w:t>
      </w:r>
      <w:r w:rsidR="000F5585">
        <w:rPr>
          <w:sz w:val="28"/>
          <w:szCs w:val="28"/>
        </w:rPr>
        <w:t xml:space="preserve">                   </w:t>
      </w:r>
      <w:r w:rsidR="00330DC1">
        <w:rPr>
          <w:sz w:val="28"/>
          <w:szCs w:val="28"/>
        </w:rPr>
        <w:t xml:space="preserve"> №27- НПА)</w:t>
      </w:r>
      <w:r w:rsidR="00C71982" w:rsidRPr="00C71982">
        <w:rPr>
          <w:sz w:val="28"/>
          <w:szCs w:val="28"/>
        </w:rPr>
        <w:t xml:space="preserve"> </w:t>
      </w:r>
      <w:r w:rsidR="00C71982" w:rsidRPr="000676EF">
        <w:rPr>
          <w:sz w:val="28"/>
          <w:szCs w:val="28"/>
        </w:rPr>
        <w:t>следующие изменения</w:t>
      </w:r>
      <w:r w:rsidR="000676EF" w:rsidRPr="00276384">
        <w:rPr>
          <w:sz w:val="28"/>
          <w:szCs w:val="28"/>
        </w:rPr>
        <w:t>:</w:t>
      </w:r>
    </w:p>
    <w:p w:rsidR="00D55067" w:rsidRDefault="000676EF" w:rsidP="00D5506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7638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1.1. </w:t>
      </w:r>
      <w:r w:rsidR="00C71982">
        <w:rPr>
          <w:sz w:val="28"/>
          <w:szCs w:val="28"/>
        </w:rPr>
        <w:t>Пункт 12.1. р</w:t>
      </w:r>
      <w:r w:rsidR="0088371A">
        <w:rPr>
          <w:sz w:val="28"/>
          <w:szCs w:val="28"/>
        </w:rPr>
        <w:t>аздел</w:t>
      </w:r>
      <w:r w:rsidR="00C71982">
        <w:rPr>
          <w:sz w:val="28"/>
          <w:szCs w:val="28"/>
        </w:rPr>
        <w:t>а 12</w:t>
      </w:r>
      <w:r w:rsidR="0088371A">
        <w:rPr>
          <w:sz w:val="28"/>
          <w:szCs w:val="28"/>
        </w:rPr>
        <w:t xml:space="preserve"> </w:t>
      </w:r>
      <w:r w:rsidR="000F5585">
        <w:rPr>
          <w:sz w:val="28"/>
          <w:szCs w:val="28"/>
        </w:rPr>
        <w:t xml:space="preserve">Правил </w:t>
      </w:r>
      <w:r w:rsidR="0088371A">
        <w:rPr>
          <w:sz w:val="28"/>
          <w:szCs w:val="28"/>
        </w:rPr>
        <w:t>дополнить абзацем следующего содержания</w:t>
      </w:r>
      <w:r w:rsidR="00C71982">
        <w:rPr>
          <w:sz w:val="28"/>
          <w:szCs w:val="28"/>
        </w:rPr>
        <w:t>:</w:t>
      </w:r>
    </w:p>
    <w:p w:rsidR="00D55067" w:rsidRDefault="000F5585" w:rsidP="00D5506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55067">
        <w:rPr>
          <w:sz w:val="28"/>
          <w:szCs w:val="28"/>
        </w:rPr>
        <w:t xml:space="preserve">«- освещение </w:t>
      </w:r>
      <w:r w:rsidR="00AE6AFC">
        <w:rPr>
          <w:sz w:val="28"/>
          <w:szCs w:val="28"/>
        </w:rPr>
        <w:t xml:space="preserve">жилых домов и непосредственно прилегающей к ним </w:t>
      </w:r>
      <w:r w:rsidR="00D55067">
        <w:rPr>
          <w:sz w:val="28"/>
          <w:szCs w:val="28"/>
        </w:rPr>
        <w:t>территории</w:t>
      </w:r>
      <w:r>
        <w:rPr>
          <w:sz w:val="28"/>
          <w:szCs w:val="28"/>
        </w:rPr>
        <w:t>;</w:t>
      </w:r>
      <w:r w:rsidR="00D55067">
        <w:rPr>
          <w:sz w:val="28"/>
          <w:szCs w:val="28"/>
        </w:rPr>
        <w:t>»</w:t>
      </w:r>
      <w:r w:rsidR="00C71982">
        <w:rPr>
          <w:sz w:val="28"/>
          <w:szCs w:val="28"/>
        </w:rPr>
        <w:t>;</w:t>
      </w:r>
      <w:r w:rsidR="00D55067" w:rsidRPr="00CF0D3D">
        <w:rPr>
          <w:sz w:val="28"/>
          <w:szCs w:val="28"/>
        </w:rPr>
        <w:t xml:space="preserve"> </w:t>
      </w:r>
    </w:p>
    <w:p w:rsidR="00C71982" w:rsidRDefault="00D55067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1.2. </w:t>
      </w:r>
      <w:r w:rsidR="00D71695">
        <w:rPr>
          <w:sz w:val="28"/>
          <w:szCs w:val="28"/>
        </w:rPr>
        <w:t xml:space="preserve">Дополнить </w:t>
      </w:r>
      <w:r w:rsidR="000F5585" w:rsidRPr="000676EF">
        <w:rPr>
          <w:sz w:val="28"/>
          <w:szCs w:val="28"/>
        </w:rPr>
        <w:t>Правила благоустройства территории Калтанского городского округа</w:t>
      </w:r>
      <w:r w:rsidR="000F5585">
        <w:rPr>
          <w:sz w:val="28"/>
          <w:szCs w:val="28"/>
        </w:rPr>
        <w:t xml:space="preserve"> П</w:t>
      </w:r>
      <w:r w:rsidR="00FB2858">
        <w:rPr>
          <w:sz w:val="28"/>
          <w:szCs w:val="28"/>
        </w:rPr>
        <w:t>риложение</w:t>
      </w:r>
      <w:r w:rsidR="00D71695">
        <w:rPr>
          <w:sz w:val="28"/>
          <w:szCs w:val="28"/>
        </w:rPr>
        <w:t xml:space="preserve">м </w:t>
      </w:r>
      <w:r w:rsidR="00111594">
        <w:rPr>
          <w:sz w:val="28"/>
          <w:szCs w:val="28"/>
        </w:rPr>
        <w:t xml:space="preserve">4 </w:t>
      </w:r>
      <w:r w:rsidR="00B42DBF">
        <w:rPr>
          <w:sz w:val="28"/>
          <w:szCs w:val="28"/>
        </w:rPr>
        <w:t>согласно приложению</w:t>
      </w:r>
      <w:r w:rsidR="00C71982">
        <w:rPr>
          <w:sz w:val="28"/>
          <w:szCs w:val="28"/>
        </w:rPr>
        <w:t xml:space="preserve"> </w:t>
      </w:r>
      <w:r w:rsidR="000F5585">
        <w:rPr>
          <w:sz w:val="28"/>
          <w:szCs w:val="28"/>
        </w:rPr>
        <w:t xml:space="preserve">1 </w:t>
      </w:r>
      <w:r w:rsidR="00C71982">
        <w:rPr>
          <w:sz w:val="28"/>
          <w:szCs w:val="28"/>
        </w:rPr>
        <w:t>к настоящему решению;</w:t>
      </w:r>
    </w:p>
    <w:p w:rsidR="00605CCD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1.3. Дополнить </w:t>
      </w:r>
      <w:r w:rsidR="000F5585" w:rsidRPr="000676EF">
        <w:rPr>
          <w:sz w:val="28"/>
          <w:szCs w:val="28"/>
        </w:rPr>
        <w:t>Правила благоустройства территории Калтанского городского округа</w:t>
      </w:r>
      <w:r w:rsidR="000F5585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риложением </w:t>
      </w:r>
      <w:r w:rsidR="006E0669">
        <w:rPr>
          <w:sz w:val="28"/>
          <w:szCs w:val="28"/>
        </w:rPr>
        <w:t>5</w:t>
      </w:r>
      <w:r w:rsidR="00B42DBF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 xml:space="preserve"> </w:t>
      </w:r>
      <w:r w:rsidR="000F5585">
        <w:rPr>
          <w:sz w:val="28"/>
          <w:szCs w:val="28"/>
        </w:rPr>
        <w:t xml:space="preserve">2 </w:t>
      </w:r>
      <w:r>
        <w:rPr>
          <w:sz w:val="28"/>
          <w:szCs w:val="28"/>
        </w:rPr>
        <w:t>к настоящему решению.</w:t>
      </w:r>
    </w:p>
    <w:p w:rsidR="00307192" w:rsidRPr="00307192" w:rsidRDefault="00307192" w:rsidP="00FB2858">
      <w:pPr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07192">
        <w:rPr>
          <w:sz w:val="28"/>
          <w:szCs w:val="28"/>
        </w:rPr>
        <w:t>. Настоящее решение вступает в силу со дня официального опубликования.</w:t>
      </w:r>
    </w:p>
    <w:p w:rsidR="00307192" w:rsidRPr="000676EF" w:rsidRDefault="00307192" w:rsidP="00FB2858">
      <w:pPr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07192">
        <w:rPr>
          <w:sz w:val="28"/>
          <w:szCs w:val="28"/>
        </w:rPr>
        <w:t>. Контроль исполнения настоящего решения возложить на постоянную комиссию по вопросам жизнеобеспечения городского округа Совета народных депутатов Калтанского городского округа (Рычкова Т.С.).</w:t>
      </w:r>
    </w:p>
    <w:p w:rsidR="001A333F" w:rsidRDefault="001A333F" w:rsidP="00FB2858">
      <w:pPr>
        <w:ind w:left="-284" w:firstLine="426"/>
        <w:jc w:val="both"/>
        <w:rPr>
          <w:sz w:val="28"/>
          <w:szCs w:val="28"/>
        </w:rPr>
      </w:pPr>
    </w:p>
    <w:p w:rsidR="00276384" w:rsidRDefault="00276384" w:rsidP="00276384">
      <w:pPr>
        <w:jc w:val="both"/>
        <w:rPr>
          <w:sz w:val="28"/>
          <w:szCs w:val="28"/>
        </w:rPr>
      </w:pPr>
    </w:p>
    <w:p w:rsidR="00FB2858" w:rsidRDefault="00FB2858" w:rsidP="00276384">
      <w:pPr>
        <w:jc w:val="both"/>
        <w:rPr>
          <w:sz w:val="28"/>
          <w:szCs w:val="28"/>
        </w:rPr>
      </w:pPr>
    </w:p>
    <w:p w:rsidR="003F3589" w:rsidRPr="00A41BB3" w:rsidRDefault="00C71982" w:rsidP="009110AA">
      <w:pPr>
        <w:ind w:lef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 председателя</w:t>
      </w:r>
      <w:r w:rsidR="003F3589" w:rsidRPr="00A41BB3">
        <w:rPr>
          <w:b/>
          <w:sz w:val="28"/>
          <w:szCs w:val="28"/>
        </w:rPr>
        <w:t xml:space="preserve"> Совета народных депутатов     </w:t>
      </w:r>
    </w:p>
    <w:p w:rsidR="003F3589" w:rsidRDefault="003F3589" w:rsidP="009A3996">
      <w:pPr>
        <w:ind w:left="-284"/>
        <w:jc w:val="both"/>
        <w:rPr>
          <w:b/>
          <w:sz w:val="28"/>
          <w:szCs w:val="28"/>
        </w:rPr>
      </w:pPr>
      <w:r w:rsidRPr="00A41BB3">
        <w:rPr>
          <w:b/>
          <w:sz w:val="28"/>
          <w:szCs w:val="28"/>
        </w:rPr>
        <w:t xml:space="preserve">Калтанского городского округа                               </w:t>
      </w:r>
      <w:r w:rsidR="00C71982">
        <w:rPr>
          <w:b/>
          <w:sz w:val="28"/>
          <w:szCs w:val="28"/>
        </w:rPr>
        <w:t xml:space="preserve">                   </w:t>
      </w:r>
      <w:r w:rsidR="001E1EBE">
        <w:rPr>
          <w:b/>
          <w:sz w:val="28"/>
          <w:szCs w:val="28"/>
        </w:rPr>
        <w:t xml:space="preserve">      </w:t>
      </w:r>
      <w:r w:rsidR="00C71982">
        <w:rPr>
          <w:b/>
          <w:sz w:val="28"/>
          <w:szCs w:val="28"/>
        </w:rPr>
        <w:t>Л.П. Лехтина</w:t>
      </w:r>
    </w:p>
    <w:p w:rsidR="0038696F" w:rsidRDefault="0038696F" w:rsidP="009A3996">
      <w:pPr>
        <w:ind w:left="-284"/>
        <w:jc w:val="both"/>
        <w:rPr>
          <w:b/>
          <w:sz w:val="28"/>
          <w:szCs w:val="28"/>
        </w:rPr>
      </w:pPr>
    </w:p>
    <w:p w:rsidR="001E1EBE" w:rsidRDefault="001E1EBE" w:rsidP="009A3996">
      <w:pPr>
        <w:ind w:left="-284"/>
        <w:jc w:val="both"/>
        <w:rPr>
          <w:b/>
          <w:sz w:val="28"/>
          <w:szCs w:val="28"/>
        </w:rPr>
      </w:pPr>
    </w:p>
    <w:p w:rsidR="001E1EBE" w:rsidRDefault="001E1EBE" w:rsidP="009A3996">
      <w:pPr>
        <w:ind w:left="-284"/>
        <w:jc w:val="both"/>
        <w:rPr>
          <w:b/>
          <w:sz w:val="28"/>
          <w:szCs w:val="28"/>
        </w:rPr>
      </w:pPr>
    </w:p>
    <w:p w:rsidR="001E1EBE" w:rsidRDefault="001E1EBE" w:rsidP="001E1EBE">
      <w:pPr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главы Калтанского</w:t>
      </w:r>
    </w:p>
    <w:p w:rsidR="001E1EBE" w:rsidRDefault="001E1EBE" w:rsidP="001E1EBE">
      <w:pPr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 округа                                                                Л.А. Шайхелисламова</w:t>
      </w:r>
    </w:p>
    <w:p w:rsidR="00D94FF1" w:rsidRDefault="00D94FF1" w:rsidP="009A3996">
      <w:pPr>
        <w:ind w:left="-284"/>
        <w:jc w:val="both"/>
        <w:rPr>
          <w:b/>
          <w:sz w:val="28"/>
          <w:szCs w:val="28"/>
        </w:rPr>
      </w:pPr>
    </w:p>
    <w:p w:rsidR="00D94FF1" w:rsidRDefault="00D94FF1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C71982" w:rsidRDefault="00C71982" w:rsidP="009A3996">
      <w:pPr>
        <w:ind w:left="-284"/>
        <w:jc w:val="both"/>
        <w:rPr>
          <w:b/>
          <w:sz w:val="28"/>
          <w:szCs w:val="28"/>
        </w:rPr>
      </w:pPr>
    </w:p>
    <w:p w:rsidR="002A7254" w:rsidRPr="002A7254" w:rsidRDefault="002A7254" w:rsidP="002A7254">
      <w:pPr>
        <w:ind w:left="-284"/>
        <w:jc w:val="right"/>
      </w:pPr>
      <w:r w:rsidRPr="002A7254">
        <w:t xml:space="preserve">Приложение </w:t>
      </w:r>
      <w:r w:rsidR="008B0767">
        <w:t xml:space="preserve"> 1</w:t>
      </w:r>
    </w:p>
    <w:p w:rsidR="002A7254" w:rsidRPr="002A7254" w:rsidRDefault="002A7254" w:rsidP="002A7254">
      <w:pPr>
        <w:ind w:left="-284"/>
        <w:jc w:val="right"/>
      </w:pPr>
      <w:r w:rsidRPr="002A7254">
        <w:t>к решению Совета народных депутатов</w:t>
      </w:r>
    </w:p>
    <w:p w:rsidR="002A7254" w:rsidRPr="002A7254" w:rsidRDefault="002A7254" w:rsidP="002A7254">
      <w:pPr>
        <w:ind w:left="-284"/>
        <w:jc w:val="right"/>
      </w:pPr>
      <w:r w:rsidRPr="002A7254">
        <w:t xml:space="preserve">Калтанского городского округа </w:t>
      </w:r>
    </w:p>
    <w:p w:rsidR="002A7254" w:rsidRPr="002A7254" w:rsidRDefault="002A7254" w:rsidP="002A7254">
      <w:pPr>
        <w:jc w:val="right"/>
      </w:pPr>
      <w:r w:rsidRPr="002A7254">
        <w:t xml:space="preserve">от </w:t>
      </w:r>
      <w:r>
        <w:t>«</w:t>
      </w:r>
      <w:r w:rsidR="00637C21">
        <w:t>30</w:t>
      </w:r>
      <w:r>
        <w:t>»</w:t>
      </w:r>
      <w:r w:rsidR="00637C21">
        <w:t xml:space="preserve"> ноября </w:t>
      </w:r>
      <w:r w:rsidRPr="002A7254">
        <w:t>202</w:t>
      </w:r>
      <w:r>
        <w:t>2</w:t>
      </w:r>
      <w:r w:rsidRPr="002A7254">
        <w:t xml:space="preserve"> №</w:t>
      </w:r>
      <w:r w:rsidR="00637C21">
        <w:t>56</w:t>
      </w:r>
      <w:bookmarkStart w:id="0" w:name="_GoBack"/>
      <w:bookmarkEnd w:id="0"/>
      <w:r w:rsidRPr="002A7254">
        <w:t>-НПА</w:t>
      </w:r>
    </w:p>
    <w:p w:rsidR="00C71982" w:rsidRDefault="00C71982" w:rsidP="00C71982">
      <w:pPr>
        <w:ind w:left="-284"/>
        <w:jc w:val="right"/>
        <w:rPr>
          <w:sz w:val="28"/>
          <w:szCs w:val="28"/>
        </w:rPr>
      </w:pPr>
    </w:p>
    <w:p w:rsidR="002A7254" w:rsidRDefault="002A7254" w:rsidP="00C71982">
      <w:pPr>
        <w:ind w:left="-284"/>
        <w:jc w:val="right"/>
        <w:rPr>
          <w:sz w:val="28"/>
          <w:szCs w:val="28"/>
        </w:rPr>
      </w:pPr>
    </w:p>
    <w:p w:rsidR="00C71982" w:rsidRPr="002A7254" w:rsidRDefault="00C71982" w:rsidP="00C71982">
      <w:pPr>
        <w:ind w:left="-284"/>
        <w:jc w:val="right"/>
      </w:pPr>
      <w:r w:rsidRPr="002A7254">
        <w:t>Приложение 4</w:t>
      </w:r>
    </w:p>
    <w:p w:rsidR="00C71982" w:rsidRPr="002A7254" w:rsidRDefault="00C71982" w:rsidP="00C71982">
      <w:pPr>
        <w:pStyle w:val="Default"/>
        <w:jc w:val="right"/>
      </w:pPr>
      <w:r w:rsidRPr="002A7254">
        <w:t>к Правилам благоустройства территории</w:t>
      </w:r>
    </w:p>
    <w:p w:rsidR="00C71982" w:rsidRPr="002A7254" w:rsidRDefault="00C71982" w:rsidP="00C71982">
      <w:pPr>
        <w:pStyle w:val="Default"/>
        <w:jc w:val="right"/>
      </w:pPr>
      <w:r w:rsidRPr="002A7254">
        <w:t>Калтанского городского округа</w:t>
      </w:r>
    </w:p>
    <w:p w:rsidR="002A7254" w:rsidRDefault="002A7254" w:rsidP="00C71982">
      <w:pPr>
        <w:pStyle w:val="Default"/>
        <w:jc w:val="right"/>
        <w:rPr>
          <w:sz w:val="28"/>
          <w:szCs w:val="28"/>
        </w:rPr>
      </w:pPr>
    </w:p>
    <w:p w:rsidR="00362BFE" w:rsidRPr="002A7254" w:rsidRDefault="00362BFE" w:rsidP="00C71982">
      <w:pPr>
        <w:pStyle w:val="Default"/>
        <w:jc w:val="right"/>
        <w:rPr>
          <w:sz w:val="28"/>
          <w:szCs w:val="28"/>
        </w:rPr>
      </w:pPr>
    </w:p>
    <w:p w:rsidR="00362BFE" w:rsidRPr="002A7254" w:rsidRDefault="00C71982" w:rsidP="00C71982">
      <w:pPr>
        <w:pStyle w:val="Default"/>
        <w:jc w:val="center"/>
        <w:rPr>
          <w:sz w:val="28"/>
          <w:szCs w:val="28"/>
        </w:rPr>
      </w:pPr>
      <w:r w:rsidRPr="002A7254">
        <w:rPr>
          <w:sz w:val="28"/>
          <w:szCs w:val="28"/>
        </w:rPr>
        <w:t xml:space="preserve">Требования </w:t>
      </w:r>
    </w:p>
    <w:p w:rsidR="00C71982" w:rsidRPr="002A7254" w:rsidRDefault="00C71982" w:rsidP="00C71982">
      <w:pPr>
        <w:pStyle w:val="Default"/>
        <w:jc w:val="center"/>
        <w:rPr>
          <w:sz w:val="28"/>
          <w:szCs w:val="28"/>
        </w:rPr>
      </w:pPr>
      <w:r w:rsidRPr="002A7254">
        <w:rPr>
          <w:sz w:val="28"/>
          <w:szCs w:val="28"/>
        </w:rPr>
        <w:t>к архитектурно-художественному оформлении и внешнему облику нестационарных торговых объектов</w:t>
      </w:r>
    </w:p>
    <w:p w:rsidR="00362BFE" w:rsidRPr="002A7254" w:rsidRDefault="00362BFE" w:rsidP="00C71982">
      <w:pPr>
        <w:pStyle w:val="Default"/>
        <w:jc w:val="center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5853E3">
        <w:rPr>
          <w:bCs/>
          <w:sz w:val="28"/>
          <w:szCs w:val="28"/>
        </w:rPr>
        <w:t>Общие положения</w:t>
      </w:r>
    </w:p>
    <w:p w:rsidR="00362BFE" w:rsidRPr="005853E3" w:rsidRDefault="00362BFE" w:rsidP="00362BFE">
      <w:pPr>
        <w:pStyle w:val="Default"/>
        <w:ind w:left="502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Требования разработаны в соответствии с Федеральным законом от 28.12.2009 № 381-ФЗ «Об основах государственного регулирования торговой деятельности в Российской Федерации», «ГОСТ Р 51303-2013. Национальный стандарт Российской Федерации. Торговля. Термины и определения», в целях создания единого подхода при формировании архитектурно-художественного облика нестационарных торговых объектов на территории Кемеровской области - Кузбасса.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Размещение нестационарных торговых объектов (далее - НТО) на территории Калтанского городского округа осуществляется в местах, определенных схемой размещения нестационарных торговых объектов.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Установка и эксплуатация на территории Калтанского городского округа видов нестационарных торговых объектов, не предусмотренных настоящим приложением Правил, не допускается.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Типовые правила устанавливают: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базовые варианты архитектурных решений отдельных видов нестационарных торговых объектов с минимальной торговой площадью для размещения на территории городского округа;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требования к размещению информационных конструкций на нестационарных торговых объектах.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Действие положений настоящих типовых правил в части размещения и функционирования торговых объектов не распространяется: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нестационарные торговые объекты, размещаемые в зданиях, строениях и сооружениях;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на отношения, связанные с торговым обслуживанием массовых праздничных, общественно-политических, культурно-массовых и спортивно-массовых мероприятий, а также на отношения, связанные с продажей товаров на ярмарках.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1.6. Установленные в настоящем приложении   виды нестационарных торговых объектов используются для реализации товаров и оказания услуг: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сфере мелкорозничной торговли;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сезонной торговле;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 сфере общественного питания;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реализации периодической печатной продукции. </w:t>
      </w:r>
    </w:p>
    <w:p w:rsidR="00362BFE" w:rsidRDefault="00362BFE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156FE7">
        <w:rPr>
          <w:bCs/>
          <w:sz w:val="28"/>
          <w:szCs w:val="28"/>
        </w:rPr>
        <w:t>Требования к размещению нестационарных торговых объектов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Нестационарные торговые объекты не должны размещаться в отсутствие или в нарушение решения о согласовании архитектурного решения, которое разрабатывается и согласовывается в порядке, установленном правовым актом администрации Калтанского городского округа;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Не допускается размещать НТО: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зонах с особыми условиями использования территорий (сетей электроснабжения, водоснабжения, водоотведения, теплоснабжения, газоснабжения и связи), сведения о которых внесены в государственный кадастр недвижимости (положение данного пункта не применяется, в случае если собственник или иной законный владелец инженерных сетей дал письменное согласие на размещение НТО);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в пределах посадочных площадок ожидания (рис. 1); </w:t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2053160"/>
            <wp:effectExtent l="19050" t="0" r="0" b="0"/>
            <wp:docPr id="33" name="Рисунок 119" descr="C:\Users\kormina-os.AKO\Desktop\приложение н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C:\Users\kormina-os.AKO\Desktop\приложение нто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проездах, предназначенных для движения обслуживающей и специальной техники (рис. 2); </w:t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2116502"/>
            <wp:effectExtent l="19050" t="0" r="9525" b="0"/>
            <wp:docPr id="34" name="Рисунок 120" descr="C:\Users\kormina-os.AKO\Desktop\приложение н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C:\Users\kormina-os.AKO\Desktop\приложение нто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48" cy="211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0F5585" w:rsidRDefault="000F5585" w:rsidP="00C71982">
      <w:pPr>
        <w:pStyle w:val="Default"/>
        <w:ind w:left="-284" w:firstLine="426"/>
        <w:jc w:val="center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зонах треугольников видимости на нерегулируемых пересечениях и примыканиях дорог и улиц в одном уровне, а также на пешеходных переходах;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Допускается размещать НТО: </w:t>
      </w:r>
    </w:p>
    <w:p w:rsidR="00C71982" w:rsidRDefault="00C71982" w:rsidP="00C71982">
      <w:pPr>
        <w:pStyle w:val="Default"/>
        <w:tabs>
          <w:tab w:val="left" w:pos="6379"/>
        </w:tabs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вплотную к пешеходной зоне, если ее ширина не менее 4,0 м. В таком случае НТО допускается размещать с отступом 1,0 м для организации зоны </w:t>
      </w:r>
      <w:r>
        <w:rPr>
          <w:sz w:val="28"/>
          <w:szCs w:val="28"/>
        </w:rPr>
        <w:lastRenderedPageBreak/>
        <w:t>обслуживания покупателей (рис. 3);</w:t>
      </w:r>
      <w:r>
        <w:rPr>
          <w:noProof/>
          <w:sz w:val="28"/>
          <w:szCs w:val="28"/>
        </w:rPr>
        <w:drawing>
          <wp:inline distT="0" distB="0" distL="0" distR="0">
            <wp:extent cx="3514725" cy="2247900"/>
            <wp:effectExtent l="19050" t="0" r="9525" b="0"/>
            <wp:docPr id="35" name="Рисунок 121" descr="C:\Users\kormina-os.AKO\Desktop\приложение н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C:\Users\kormina-os.AKO\Desktop\приложение нто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вплотную к пешеходной зоне, если ее ширина более 4,0 м (рис. 4); </w:t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366493"/>
            <wp:effectExtent l="19050" t="0" r="0" b="0"/>
            <wp:docPr id="36" name="Рисунок 122" descr="C:\Users\kormina-os.AKO\Desktop\приложение н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C:\Users\kormina-os.AKO\Desktop\приложение нто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вплотную к границе примыкания твердого покрытия к газону;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вне транзитных маршрутов;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на заранее подготовленную площадку с твердым и ровным покрытием без устройства фундамента;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при условии, что водителям транспортных средств, находящихся на удалении не более 50 м от ближнего рельса нерегулируемого железнодорожного переезда была ограничена видимость приближающегося с любой стороны поезда в соответствии с нормами обеспечения видимости поезда, приближающегося к железнодорожному переезду, приведенным в таблице 7.1 ГОСТ Р 50597-2017 «Дороги автомобильные и улицы, Требования к эксплуатационному состоянию допустимому по условиям обеспечения безопасности движения. Методы контроля»;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при условии обеспечения видимости дорожных знаков, светофоров и иных технических средств организации дорожного движения.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2.4. Минимальные расстояния от НТО должны составлять: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до оси ствола – 5,0 м;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до оси кустарника – 1,5 м;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до урн – 0,4 м;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до ограждений – 1,0 м;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до опор освещения и дорожных знаков – 1,0 м;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до границы проезжей части – 3,0 м, при наличии бортового камня (рис. 1)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до оси рекламной конструкции – 5,0 м (рис. 5);</w:t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2300548"/>
            <wp:effectExtent l="19050" t="0" r="9525" b="0"/>
            <wp:docPr id="37" name="Рисунок 123" descr="C:\Users\kormina-os.AKO\Desktop\приложение н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C:\Users\kormina-os.AKO\Desktop\приложение нто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0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 оси сити-формата, афишной тумбы, пилона – 2,0 м (рис. 5);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 оси лайт-бокса на опоре – не менее 1,0 м, до границы пешеходного перехода не менее 5,0 м (рис. 5); </w:t>
      </w:r>
    </w:p>
    <w:p w:rsidR="00C71982" w:rsidRDefault="00C71982" w:rsidP="00C71982">
      <w:pPr>
        <w:pStyle w:val="Default"/>
        <w:ind w:left="-284" w:firstLine="426"/>
        <w:rPr>
          <w:sz w:val="28"/>
          <w:szCs w:val="28"/>
        </w:rPr>
      </w:pPr>
      <w:r>
        <w:rPr>
          <w:sz w:val="28"/>
          <w:szCs w:val="28"/>
        </w:rPr>
        <w:t xml:space="preserve">- в сторону от границ входных групп не менее 5,0 м (рис. 6); </w:t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3994" cy="2270433"/>
            <wp:effectExtent l="19050" t="0" r="0" b="0"/>
            <wp:docPr id="38" name="Рисунок 124" descr="C:\Users\kormina-os.AKO\Desktop\приложение н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C:\Users\kormina-os.AKO\Desktop\приложение нто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4" cy="227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всех перекрестках от НТО до пересечения проезжих частей – 10,0 м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2.5. На регулируемых перекрестках, в местах примыкания второстепенных и внутренних проездов к дорогам, на регулируемых пешеходных переходах не допускается размещать НТО в пределах треугольника видимости для условий «пешеход-транспорт» размеры прямоугольного треугольника видимости при скорости движения транспорта 25 км/ч и 40 км/ч должно быть соответственно 8,0 м х 40,0 м и 10,0 м х 50,0 м и для условий «транспорт-транспорт» размеры сторон равнобедренного треугольника при скорости движения 40 км/ч, 60 км/ч должны быть не менее 25,0 м и 40,0 м.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Торговый фронт НТО должен быть ориентирован на пешеходную зону.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2.7. При размещении НТО на пешеходных маршрутах ширина твердого покрытия должна составлять более 7,0 м.</w:t>
      </w:r>
    </w:p>
    <w:p w:rsidR="00362BFE" w:rsidRDefault="00362BFE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A7254" w:rsidRDefault="002A7254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2A7254" w:rsidRDefault="002A7254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2A7254" w:rsidRDefault="002A7254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Pr="00652B57" w:rsidRDefault="00C71982" w:rsidP="002A7254">
      <w:pPr>
        <w:pStyle w:val="Default"/>
        <w:ind w:left="-284" w:firstLine="426"/>
        <w:jc w:val="both"/>
        <w:rPr>
          <w:sz w:val="28"/>
          <w:szCs w:val="28"/>
        </w:rPr>
      </w:pPr>
      <w:r w:rsidRPr="00652B57">
        <w:rPr>
          <w:bCs/>
          <w:sz w:val="28"/>
          <w:szCs w:val="28"/>
        </w:rPr>
        <w:lastRenderedPageBreak/>
        <w:t>3. Требования к внешнему виду нестационарных торговых объектов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362BFE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Установлены типовые решения архитектурно-художественного облика нестационарных торговых объектов на территории Калтанского городского округа - киоска (рис.7), торговых палаток площадью 3,2 м2 (рис.8). Определить цветовую гамму тента (армированная ПВХ ткань) торговых сборно-разборных палаток для ярмарочной торговли в желтых и зеленых тонах.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Архитектурные решения павильонов, торгово-остановочных павильонов площадью 3,0 м2, 4,5 м2, 6,0 м2, торговых палаток, елочных базаров площадью 6,8 м2, 13,5 м2 и парковых павильонов (беседок) согласовываются </w:t>
      </w:r>
      <w:r w:rsidRPr="008E2E8C">
        <w:rPr>
          <w:sz w:val="28"/>
          <w:szCs w:val="28"/>
        </w:rPr>
        <w:t xml:space="preserve">в порядке, установленном правовым актом администрации </w:t>
      </w:r>
      <w:r>
        <w:rPr>
          <w:sz w:val="28"/>
          <w:szCs w:val="28"/>
        </w:rPr>
        <w:t xml:space="preserve">городского округа.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1590675"/>
            <wp:effectExtent l="19050" t="0" r="0" b="0"/>
            <wp:docPr id="39" name="Рисунок 86" descr="C:\Users\kormina-os.AKO\Desktop\приложение нто\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kormina-os.AKO\Desktop\приложение нто\8-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2457450"/>
            <wp:effectExtent l="19050" t="0" r="9525" b="0"/>
            <wp:docPr id="40" name="Рисунок 200" descr="C:\Users\kormina-os.AKO\Desktop\приложение нто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C:\Users\kormina-os.AKO\Desktop\приложение нто\8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5000" cy="2438400"/>
            <wp:effectExtent l="19050" t="0" r="0" b="0"/>
            <wp:docPr id="41" name="Рисунок 201" descr="C:\Users\kormina-os.AKO\Desktop\приложение нто\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C:\Users\kormina-os.AKO\Desktop\приложение нто\8-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52725" cy="2324100"/>
            <wp:effectExtent l="19050" t="0" r="9525" b="0"/>
            <wp:docPr id="42" name="Рисунок 202" descr="C:\Users\kormina-os.AKO\Desktop\приложение нто\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C:\Users\kormina-os.AKO\Desktop\приложение нто\8-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28875" cy="2133600"/>
            <wp:effectExtent l="19050" t="0" r="9525" b="0"/>
            <wp:docPr id="43" name="Рисунок 203" descr="C:\Users\kormina-os.AKO\Desktop\приложение нто\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C:\Users\kormina-os.AKO\Desktop\приложение нто\8-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724150" cy="1971675"/>
            <wp:effectExtent l="19050" t="0" r="0" b="0"/>
            <wp:docPr id="44" name="Рисунок 204" descr="C:\Users\kormina-os.AKO\Desktop\приложение нто\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C:\Users\kormina-os.AKO\Desktop\приложение нто\8-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7950" cy="1790700"/>
            <wp:effectExtent l="19050" t="0" r="0" b="0"/>
            <wp:docPr id="45" name="Рисунок 205" descr="C:\Users\kormina-os.AKO\Desktop\приложение нто\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C:\Users\kormina-os.AKO\Desktop\приложение нто\8-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591175" cy="2867025"/>
            <wp:effectExtent l="19050" t="0" r="9525" b="0"/>
            <wp:docPr id="46" name="Рисунок 209" descr="C:\Users\kormina-os.AKO\Desktop\приложение нто\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 descr="C:\Users\kormina-os.AKO\Desktop\приложение нто\9-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Рис.7</w:t>
      </w: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38300" cy="476250"/>
            <wp:effectExtent l="19050" t="0" r="0" b="0"/>
            <wp:docPr id="47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90750" cy="200025"/>
            <wp:effectExtent l="19050" t="0" r="0" b="0"/>
            <wp:docPr id="48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34000" cy="3419475"/>
            <wp:effectExtent l="19050" t="0" r="0" b="0"/>
            <wp:docPr id="49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800100"/>
            <wp:effectExtent l="19050" t="0" r="0" b="0"/>
            <wp:docPr id="5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00425" cy="1704975"/>
            <wp:effectExtent l="19050" t="0" r="9525" b="0"/>
            <wp:docPr id="51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00275" cy="1571625"/>
            <wp:effectExtent l="19050" t="0" r="9525" b="0"/>
            <wp:docPr id="52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Рис.8</w:t>
      </w: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Внешний вид и технические характеристики НТО должны соответствовать установленным настоящими типовыми правилами типовым решениям архитектурно-художественного облика нестационарных торговых объектов на территории Кемеровской области - Кузбасса.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допускается изменение объемно-планировочного, конструктивного, цветового решений.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Для наружной отделки НТО необходимо применять алюминиевые композитные панели согласно международной системе по каталогу RAL СLASSIK (основные цвета: серебро, белый, серый графит).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Подсветку НТО необходимо осуществлять в соответствии с методическими рекомендациям по формированию архитектурно-художественного облика городов Кемеровской области – Кузбасса приложения № 5 типовых правил по формированию архитектурно-художественной подсветки зданий, строений, сооружений, нестационарных торговых объектов на территории Кемеровской области - Кузбасса.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3.5. Конструктивное решение НТО должно обеспечивать осуществление его демонтажа в течение одного дня и перемещение на новое место.</w:t>
      </w:r>
    </w:p>
    <w:p w:rsidR="00C71982" w:rsidRDefault="00C71982" w:rsidP="00C71982">
      <w:pPr>
        <w:pStyle w:val="Default"/>
        <w:ind w:left="-284"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427E6D">
        <w:rPr>
          <w:color w:val="auto"/>
          <w:sz w:val="28"/>
          <w:szCs w:val="28"/>
        </w:rPr>
        <w:t xml:space="preserve">3.6. </w:t>
      </w:r>
      <w:r w:rsidR="00427E6D">
        <w:rPr>
          <w:color w:val="auto"/>
          <w:sz w:val="28"/>
          <w:szCs w:val="28"/>
          <w:shd w:val="clear" w:color="auto" w:fill="FFFFFF"/>
        </w:rPr>
        <w:t> Установить срок 12 месяцев </w:t>
      </w:r>
      <w:r w:rsidR="00427E6D" w:rsidRPr="00427E6D">
        <w:rPr>
          <w:color w:val="auto"/>
          <w:sz w:val="28"/>
          <w:szCs w:val="28"/>
          <w:shd w:val="clear" w:color="auto" w:fill="FFFFFF"/>
        </w:rPr>
        <w:t>собственни</w:t>
      </w:r>
      <w:r w:rsidR="00427E6D">
        <w:rPr>
          <w:color w:val="auto"/>
          <w:sz w:val="28"/>
          <w:szCs w:val="28"/>
          <w:shd w:val="clear" w:color="auto" w:fill="FFFFFF"/>
        </w:rPr>
        <w:t>кам </w:t>
      </w:r>
      <w:r w:rsidR="00427E6D" w:rsidRPr="00427E6D">
        <w:rPr>
          <w:color w:val="auto"/>
          <w:sz w:val="28"/>
          <w:szCs w:val="28"/>
          <w:shd w:val="clear" w:color="auto" w:fill="FFFFFF"/>
        </w:rPr>
        <w:t>нестационарных торговых объектов для приведения внешнего вида нестационарных торговых объектов в  соответствии  с требованиями  настоящего Приложения</w:t>
      </w:r>
      <w:r w:rsidR="00427E6D">
        <w:rPr>
          <w:color w:val="auto"/>
          <w:sz w:val="28"/>
          <w:szCs w:val="28"/>
          <w:shd w:val="clear" w:color="auto" w:fill="FFFFFF"/>
        </w:rPr>
        <w:t>.</w:t>
      </w:r>
    </w:p>
    <w:p w:rsidR="00362BFE" w:rsidRPr="00427E6D" w:rsidRDefault="00362BFE" w:rsidP="00C71982">
      <w:pPr>
        <w:pStyle w:val="Default"/>
        <w:ind w:left="-284" w:firstLine="426"/>
        <w:jc w:val="both"/>
        <w:rPr>
          <w:color w:val="auto"/>
          <w:sz w:val="28"/>
          <w:szCs w:val="28"/>
        </w:rPr>
      </w:pPr>
    </w:p>
    <w:p w:rsidR="00C71982" w:rsidRDefault="00C71982" w:rsidP="00362BFE">
      <w:pPr>
        <w:pStyle w:val="Default"/>
        <w:numPr>
          <w:ilvl w:val="0"/>
          <w:numId w:val="7"/>
        </w:numPr>
        <w:ind w:left="567" w:hanging="567"/>
        <w:rPr>
          <w:bCs/>
          <w:sz w:val="28"/>
          <w:szCs w:val="28"/>
        </w:rPr>
      </w:pPr>
      <w:r w:rsidRPr="00B94BAE">
        <w:rPr>
          <w:bCs/>
          <w:sz w:val="28"/>
          <w:szCs w:val="28"/>
        </w:rPr>
        <w:t>Общие требования к размещению информационных конструкций на НТО</w:t>
      </w:r>
    </w:p>
    <w:p w:rsidR="00362BFE" w:rsidRPr="00B94BAE" w:rsidRDefault="00362BFE" w:rsidP="00362BFE">
      <w:pPr>
        <w:pStyle w:val="Default"/>
        <w:ind w:left="502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Информационные конструкции не должны: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размещаться в отсутствие или в нарушение решения о согласовании эскиза места размещения информационной конструкции;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размещаться на торговых палатках, елочных базарах, летних сезонных верандах, урнах.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Информационные конструкции должны: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содержать сведения, предусмотренные пунктом 1 статьи 9 Закона Российской Федерации от 07.02.1992 № 2300-1 «О защите прав потребителей»; </w:t>
      </w:r>
    </w:p>
    <w:p w:rsidR="00C71982" w:rsidRDefault="00C71982" w:rsidP="00B42DBF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устанавливаться под козырьком торгового фронта в виде световых объемных элементов без подложки высотой не более 0,3 м. Для информационных </w:t>
      </w:r>
      <w:r>
        <w:rPr>
          <w:sz w:val="28"/>
          <w:szCs w:val="28"/>
        </w:rPr>
        <w:lastRenderedPageBreak/>
        <w:t xml:space="preserve">конструкций необходимо использовать гротесковые шрифты без искажения букв, с использованием одного цвета, без градиентной заливки </w:t>
      </w:r>
    </w:p>
    <w:p w:rsidR="00C71982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210300" cy="457200"/>
            <wp:effectExtent l="19050" t="0" r="0" b="0"/>
            <wp:docPr id="53" name="Рисунок 284" descr="C:\Users\kormina-os.AKO\Desktop\приложение нто\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C:\Users\kormina-os.AKO\Desktop\приложение нто\23-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19500" cy="352425"/>
            <wp:effectExtent l="19050" t="0" r="0" b="0"/>
            <wp:docPr id="54" name="Рисунок 287" descr="C:\Users\kormina-os.AKO\Desktop\приложение нто\2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C:\Users\kormina-os.AKO\Desktop\приложение нто\23-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43275" cy="1571625"/>
            <wp:effectExtent l="19050" t="0" r="9525" b="0"/>
            <wp:docPr id="55" name="Рисунок 285" descr="C:\Users\kormina-os.AKO\Desktop\приложение нто\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 descr="C:\Users\kormina-os.AKO\Desktop\приложение нто\23-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0700" cy="1762125"/>
            <wp:effectExtent l="19050" t="0" r="0" b="0"/>
            <wp:docPr id="56" name="Рисунок 286" descr="C:\Users\kormina-os.AKO\Desktop\приложение нто\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 descr="C:\Users\kormina-os.AKO\Desktop\приложение нто\23-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2450" cy="514350"/>
            <wp:effectExtent l="19050" t="0" r="0" b="0"/>
            <wp:docPr id="57" name="Рисунок 290" descr="C:\Users\kormina-os.AKO\Desktop\приложение нто\2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C:\Users\kormina-os.AKO\Desktop\приложение нто\23-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76625" cy="1390650"/>
            <wp:effectExtent l="19050" t="0" r="9525" b="0"/>
            <wp:docPr id="58" name="Рисунок 288" descr="C:\Users\kormina-os.AKO\Desktop\приложение нто\2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C:\Users\kormina-os.AKO\Desktop\приложение нто\23-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7375" cy="1828800"/>
            <wp:effectExtent l="19050" t="0" r="9525" b="0"/>
            <wp:docPr id="59" name="Рисунок 289" descr="C:\Users\kormina-os.AKO\Desktop\приложение нто\2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C:\Users\kormina-os.AKO\Desktop\приложение нто\23-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Рис.9</w:t>
      </w:r>
    </w:p>
    <w:p w:rsidR="002A7254" w:rsidRDefault="002A7254" w:rsidP="00C71982">
      <w:pPr>
        <w:pStyle w:val="Default"/>
        <w:ind w:left="-284" w:firstLine="426"/>
        <w:jc w:val="center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Материалы и технологии, применяемые для изготовления информационных конструкций, в течение всего срока эксплуатации должны обеспечивать прочность, сохранение формы, окраски, иных декоративных и эксплуатационных качеств внешних элементов конструкции, отвечать требованиям энергосбережения, экологической безопасности, атмосфероустойчивости. Не допускается эксплуатация информационной конструкции, находящейся в неисправном состоянии - коррозия элементов, отсутствие отдельных конструктивных элементов (букв, крепежей, деталей), предусмотренных эскизом места размещения информационной конструкции, полное или частичное отсутствие подсветки, наличие деформированных элементов.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Крепления информационных конструкций должны обеспечивать сохранность поверхности фасада НТО при воздействии на него.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Подсветка информационной конструкции должна производиться в соответствии с требованиями методических рекомендаций по формированию архитектурно-художественного облика городов Кемеровской области - Кузбасса подпункта 6.6. типовых правил по размещению и формированию внешнего облика информационных конструкций на территории Кемеровской области – Кузбасса»;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4.6. Использование в тексте информационных конструкций, товарных знаков и знаков обслуживания, в том числе на иностранных языках, осуществляется только при условии их предварительной регистрации в установленном порядке на территории Российской Федерации или в случаях, предусмотренных международным договором Российской Федерации;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Не допускается: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нанесение изображений информационного характера на защитные жалюзи;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заклейка пленками фасадов и остекленных поверхностей витражей;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размещение рекламных конструкций. </w:t>
      </w:r>
    </w:p>
    <w:p w:rsidR="00362BFE" w:rsidRDefault="00362BFE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7"/>
        </w:numPr>
        <w:ind w:hanging="578"/>
        <w:jc w:val="both"/>
        <w:rPr>
          <w:bCs/>
          <w:sz w:val="28"/>
          <w:szCs w:val="28"/>
        </w:rPr>
      </w:pPr>
      <w:r w:rsidRPr="00B94BAE">
        <w:rPr>
          <w:bCs/>
          <w:sz w:val="28"/>
          <w:szCs w:val="28"/>
        </w:rPr>
        <w:t>Содержание нестационарных торговых объектов</w:t>
      </w:r>
    </w:p>
    <w:p w:rsidR="00362BFE" w:rsidRPr="00B94BAE" w:rsidRDefault="00362BFE" w:rsidP="00362BFE">
      <w:pPr>
        <w:pStyle w:val="Default"/>
        <w:ind w:left="862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При содержании нестационарных торговых объектов исключается следующее: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возведение к нестационарным торговым объектам пристроек, козырьков, навесов и прочих конструкций;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установка торгово-холодильного оборудования рядом с нестационарным торговым объектом;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складирование тары, товаров, деталей, упаковки, мусора и иных предметов бытового и производственного характера у нестационарных торговых объектов, а также использование нестационарных торговых объектов под складские цели;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сужение существующей пешеходной зоны улицы;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применение для наружной отделки НТО материалов, не соответствующих настоящему приложению Правил;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наружное размещение защитных решеток на фасадах и установка их на витражах (за исключением внутренних раздвижных устройств);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снижение безопасности движения пешеходов и транспорта при загрузке товарами;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разгрузка товара и оборудования с заездом автотранспортных средств на пешеходный тротуар;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установка глухих металлических дверных полотен на лицевых фасадах объекта;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применение ставен распашного вида на оконных и дверных проемах;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подключение НТО к сетям электроснабжения воздушным способом;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раскладка товара на тротуарах, земле, газонах, деревьях, парапетах, ящиках и др.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При содержании нестационарных торговых объектов необходимо производить уборку прилегающей территории, в соответствии с настоящими Правилами и требованиями в сфере санитарно-эпидемиологического благополучия населения.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7"/>
        </w:numPr>
        <w:tabs>
          <w:tab w:val="left" w:pos="993"/>
        </w:tabs>
        <w:ind w:left="-142" w:firstLine="568"/>
        <w:jc w:val="both"/>
        <w:rPr>
          <w:bCs/>
          <w:sz w:val="28"/>
          <w:szCs w:val="28"/>
        </w:rPr>
      </w:pPr>
      <w:r w:rsidRPr="00B94BAE">
        <w:rPr>
          <w:bCs/>
          <w:sz w:val="28"/>
          <w:szCs w:val="28"/>
        </w:rPr>
        <w:t>Общие требования к размещению и внешнему виду туалетов стационарного типа</w:t>
      </w:r>
    </w:p>
    <w:p w:rsidR="00362BFE" w:rsidRPr="00B94BAE" w:rsidRDefault="00362BFE" w:rsidP="002A7254">
      <w:pPr>
        <w:pStyle w:val="Default"/>
        <w:ind w:left="862" w:firstLine="568"/>
        <w:rPr>
          <w:sz w:val="28"/>
          <w:szCs w:val="28"/>
        </w:rPr>
      </w:pP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6.1. На территории Калтанского городского округа в местах массового сосредоточения людей (парки, скверы и т.д.) должны устанавливаться павильоны модульных туалетов (рис.10).</w:t>
      </w:r>
    </w:p>
    <w:p w:rsidR="00362BFE" w:rsidRDefault="00362BFE" w:rsidP="00C71982">
      <w:pPr>
        <w:pStyle w:val="Default"/>
        <w:ind w:left="-284" w:firstLine="426"/>
        <w:jc w:val="both"/>
        <w:rPr>
          <w:sz w:val="28"/>
          <w:szCs w:val="28"/>
        </w:rPr>
      </w:pPr>
    </w:p>
    <w:p w:rsidR="00C71982" w:rsidRPr="00F41B2A" w:rsidRDefault="00C71982" w:rsidP="00C71982">
      <w:pPr>
        <w:pStyle w:val="Default"/>
        <w:ind w:left="-284" w:firstLine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3650" cy="295275"/>
            <wp:effectExtent l="19050" t="0" r="0" b="0"/>
            <wp:docPr id="6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1752600"/>
            <wp:effectExtent l="19050" t="0" r="9525" b="0"/>
            <wp:docPr id="61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575" cy="1619250"/>
            <wp:effectExtent l="19050" t="0" r="9525" b="0"/>
            <wp:docPr id="62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0075" cy="1905000"/>
            <wp:effectExtent l="19050" t="0" r="9525" b="0"/>
            <wp:docPr id="81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рис.10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Не допускается размещение туалетов стационарного типа на придомовой территории. Расстояние от туалета до жилых, общественных зданий должно составлять не менее 20,0 м.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Площадка для установки туалетов стационарного типа должна иметь ровное твердое покрытие и иметь подъездные пути для обслуживающего спецавтотранспорта.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Туалет стационарного типа должен: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изготавливаться из прочных, экологически безопасных материалов, соответствующих санитарно-эпидемиологическим нормам и требованиям пожарной безопасности;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находиться в технически исправном состоянии;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оснащаться системой приточно-вытяжной вентиляции;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иметь козырек для защиты посетителей от осадков.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Места расположения туалетов стационарного типа и подходов к ним должны быть обозначены специальными указателями, просматриваемыми в дневное, вечернее и ночное время. </w:t>
      </w:r>
    </w:p>
    <w:p w:rsidR="00C71982" w:rsidRDefault="00C71982" w:rsidP="00C7198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6.7. Фасады туалета стационарного типа должны содержаться в исправном состоянии, выполняться из алюминиевых композитных панелей согласно международной системе по каталогу RAL СLASSIK (основные цвета: серебро, серый графит).</w:t>
      </w:r>
    </w:p>
    <w:p w:rsidR="00C71982" w:rsidRPr="002A7254" w:rsidRDefault="00C71982" w:rsidP="00C71982">
      <w:pPr>
        <w:pStyle w:val="Default"/>
        <w:ind w:left="-284" w:firstLine="426"/>
        <w:jc w:val="both"/>
      </w:pPr>
    </w:p>
    <w:p w:rsidR="00362BFE" w:rsidRPr="002A7254" w:rsidRDefault="00C71982" w:rsidP="00C71982">
      <w:pPr>
        <w:ind w:left="-284"/>
        <w:jc w:val="right"/>
      </w:pPr>
      <w:r w:rsidRPr="002A7254">
        <w:t xml:space="preserve">Приложение </w:t>
      </w:r>
      <w:r w:rsidR="008B0767">
        <w:t>2</w:t>
      </w:r>
    </w:p>
    <w:p w:rsidR="00C71982" w:rsidRPr="002A7254" w:rsidRDefault="00C71982" w:rsidP="00C71982">
      <w:pPr>
        <w:ind w:left="-284"/>
        <w:jc w:val="right"/>
      </w:pPr>
      <w:r w:rsidRPr="002A7254">
        <w:t>к решению Совета народных депутатов</w:t>
      </w:r>
    </w:p>
    <w:p w:rsidR="00C71982" w:rsidRPr="002A7254" w:rsidRDefault="00C71982" w:rsidP="00C71982">
      <w:pPr>
        <w:ind w:left="-284"/>
        <w:jc w:val="right"/>
      </w:pPr>
      <w:r w:rsidRPr="002A7254">
        <w:t xml:space="preserve">Калтанского городского округа </w:t>
      </w:r>
    </w:p>
    <w:p w:rsidR="00C71982" w:rsidRPr="002A7254" w:rsidRDefault="00C71982" w:rsidP="00C71982">
      <w:pPr>
        <w:jc w:val="right"/>
      </w:pPr>
      <w:r w:rsidRPr="002A7254">
        <w:t xml:space="preserve">от </w:t>
      </w:r>
      <w:r w:rsidR="002A7254">
        <w:t>«___»</w:t>
      </w:r>
      <w:r w:rsidRPr="002A7254">
        <w:t>.</w:t>
      </w:r>
      <w:r w:rsidR="002A7254">
        <w:t>_______</w:t>
      </w:r>
      <w:r w:rsidRPr="002A7254">
        <w:t>202</w:t>
      </w:r>
      <w:r w:rsidR="002A7254">
        <w:t>2</w:t>
      </w:r>
      <w:r w:rsidRPr="002A7254">
        <w:t xml:space="preserve"> №</w:t>
      </w:r>
      <w:r w:rsidR="002A7254">
        <w:t>____</w:t>
      </w:r>
      <w:r w:rsidRPr="002A7254">
        <w:t>-НПА</w:t>
      </w:r>
    </w:p>
    <w:p w:rsidR="00C71982" w:rsidRPr="002A7254" w:rsidRDefault="00C71982" w:rsidP="00C71982">
      <w:pPr>
        <w:ind w:left="-284"/>
        <w:jc w:val="right"/>
      </w:pPr>
    </w:p>
    <w:p w:rsidR="00C71982" w:rsidRPr="002A7254" w:rsidRDefault="00C71982" w:rsidP="00C71982">
      <w:pPr>
        <w:ind w:left="-284"/>
        <w:jc w:val="right"/>
      </w:pPr>
      <w:r w:rsidRPr="002A7254">
        <w:t>Приложение 5</w:t>
      </w:r>
    </w:p>
    <w:p w:rsidR="00C71982" w:rsidRPr="002A7254" w:rsidRDefault="00C71982" w:rsidP="00C71982">
      <w:pPr>
        <w:pStyle w:val="Default"/>
        <w:jc w:val="right"/>
      </w:pPr>
      <w:r w:rsidRPr="002A7254">
        <w:t>к Правилам благоустройства территории</w:t>
      </w:r>
    </w:p>
    <w:p w:rsidR="00C71982" w:rsidRPr="002A7254" w:rsidRDefault="00C71982" w:rsidP="00C71982">
      <w:pPr>
        <w:pStyle w:val="Default"/>
        <w:jc w:val="right"/>
      </w:pPr>
      <w:r w:rsidRPr="002A7254">
        <w:t>Калтанского городского округа</w:t>
      </w:r>
    </w:p>
    <w:p w:rsidR="00C71982" w:rsidRPr="002A7254" w:rsidRDefault="00C71982" w:rsidP="00C71982">
      <w:pPr>
        <w:pStyle w:val="Default"/>
        <w:jc w:val="both"/>
        <w:rPr>
          <w:bCs/>
        </w:rPr>
      </w:pPr>
    </w:p>
    <w:p w:rsidR="00362BFE" w:rsidRDefault="00362BFE" w:rsidP="00C71982">
      <w:pPr>
        <w:pStyle w:val="Default"/>
        <w:jc w:val="both"/>
        <w:rPr>
          <w:bCs/>
          <w:sz w:val="28"/>
          <w:szCs w:val="28"/>
        </w:rPr>
      </w:pPr>
    </w:p>
    <w:p w:rsidR="00362BFE" w:rsidRDefault="00C71982" w:rsidP="00362BFE">
      <w:pPr>
        <w:pStyle w:val="Default"/>
        <w:jc w:val="center"/>
        <w:rPr>
          <w:bCs/>
          <w:sz w:val="28"/>
          <w:szCs w:val="28"/>
        </w:rPr>
      </w:pPr>
      <w:r w:rsidRPr="00B94BAE">
        <w:rPr>
          <w:bCs/>
          <w:sz w:val="28"/>
          <w:szCs w:val="28"/>
        </w:rPr>
        <w:t>Требования</w:t>
      </w:r>
    </w:p>
    <w:p w:rsidR="00C71982" w:rsidRPr="00B94BAE" w:rsidRDefault="00C71982" w:rsidP="00362BFE">
      <w:pPr>
        <w:pStyle w:val="Default"/>
        <w:jc w:val="center"/>
        <w:rPr>
          <w:sz w:val="28"/>
          <w:szCs w:val="28"/>
        </w:rPr>
      </w:pPr>
      <w:r w:rsidRPr="00B94BAE">
        <w:rPr>
          <w:bCs/>
          <w:sz w:val="28"/>
          <w:szCs w:val="28"/>
        </w:rPr>
        <w:t xml:space="preserve"> к </w:t>
      </w:r>
      <w:r>
        <w:rPr>
          <w:bCs/>
          <w:sz w:val="28"/>
          <w:szCs w:val="28"/>
        </w:rPr>
        <w:t xml:space="preserve">архитектурной подсветке зданий, </w:t>
      </w:r>
      <w:r w:rsidRPr="00B94BAE">
        <w:rPr>
          <w:bCs/>
          <w:sz w:val="28"/>
          <w:szCs w:val="28"/>
        </w:rPr>
        <w:t>строений, сооружений</w:t>
      </w:r>
    </w:p>
    <w:p w:rsidR="00C71982" w:rsidRDefault="00C71982" w:rsidP="00C71982">
      <w:pPr>
        <w:pStyle w:val="Default"/>
        <w:rPr>
          <w:b/>
          <w:bCs/>
          <w:sz w:val="28"/>
          <w:szCs w:val="28"/>
        </w:rPr>
      </w:pPr>
    </w:p>
    <w:p w:rsidR="00C71982" w:rsidRDefault="00C71982" w:rsidP="00362BFE">
      <w:pPr>
        <w:pStyle w:val="Default"/>
        <w:numPr>
          <w:ilvl w:val="0"/>
          <w:numId w:val="8"/>
        </w:numPr>
        <w:jc w:val="center"/>
        <w:rPr>
          <w:bCs/>
          <w:sz w:val="28"/>
          <w:szCs w:val="28"/>
        </w:rPr>
      </w:pPr>
      <w:r w:rsidRPr="00F049AF">
        <w:rPr>
          <w:bCs/>
          <w:sz w:val="28"/>
          <w:szCs w:val="28"/>
        </w:rPr>
        <w:t>Виды архитектурного освещения</w:t>
      </w:r>
    </w:p>
    <w:p w:rsidR="00362BFE" w:rsidRPr="00F049AF" w:rsidRDefault="00362BFE" w:rsidP="00362BFE">
      <w:pPr>
        <w:pStyle w:val="Default"/>
        <w:ind w:left="720"/>
        <w:rPr>
          <w:bCs/>
          <w:sz w:val="28"/>
          <w:szCs w:val="28"/>
        </w:rPr>
      </w:pPr>
    </w:p>
    <w:p w:rsidR="00C71982" w:rsidRDefault="00362BFE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1982">
        <w:rPr>
          <w:sz w:val="28"/>
          <w:szCs w:val="28"/>
        </w:rPr>
        <w:t xml:space="preserve">1.1. Архитектурно-художественная подсветка – освещение фасадов зданий, строений, сооружений, произведений монументального искусства для выявления их архитектурно-художественных особенностей и эстетической выразительности (рис 1-9). </w:t>
      </w:r>
    </w:p>
    <w:p w:rsidR="00C71982" w:rsidRDefault="00C71982" w:rsidP="00C7198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6650" cy="266700"/>
            <wp:effectExtent l="19050" t="0" r="0" b="0"/>
            <wp:docPr id="82" name="Рисунок 130" descr="C:\Users\kormina-os.AKO\Desktop\приложение подсветка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C:\Users\kormina-os.AKO\Desktop\приложение подсветка\5-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0475" cy="2152650"/>
            <wp:effectExtent l="19050" t="0" r="9525" b="0"/>
            <wp:docPr id="83" name="Рисунок 126" descr="C:\Users\kormina-os.AKO\Desktop\приложение подсветка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C:\Users\kormina-os.AKO\Desktop\приложение подсветка\2-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Рис.1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314325"/>
            <wp:effectExtent l="19050" t="0" r="9525" b="0"/>
            <wp:docPr id="84" name="Рисунок 131" descr="C:\Users\kormina-os.AKO\Desktop\приложение подсветка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C:\Users\kormina-os.AKO\Desktop\приложение подсветка\11-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238625" cy="2305050"/>
            <wp:effectExtent l="19050" t="0" r="9525" b="0"/>
            <wp:docPr id="85" name="Рисунок 132" descr="C:\Users\kormina-os.AKO\Desktop\приложение подсветка\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C:\Users\kormina-os.AKO\Desktop\приложение подсветка\11-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Рис.2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266700"/>
            <wp:effectExtent l="19050" t="0" r="9525" b="0"/>
            <wp:docPr id="86" name="Рисунок 163" descr="C:\Users\kormina-os.AKO\Desktop\приложение подсветка\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C:\Users\kormina-os.AKO\Desktop\приложение подсветка\13-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6075" cy="1419225"/>
            <wp:effectExtent l="19050" t="0" r="9525" b="0"/>
            <wp:docPr id="87" name="Рисунок 164" descr="C:\Users\kormina-os.AKO\Desktop\приложение подсветка\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C:\Users\kormina-os.AKO\Desktop\приложение подсветка\13-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Рис.3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Виды архитектурного освещения – скверы, парки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1895475"/>
            <wp:effectExtent l="19050" t="0" r="9525" b="0"/>
            <wp:docPr id="88" name="Рисунок 162" descr="C:\Users\kormina-os.AKO\Desktop\приложение подсветка\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C:\Users\kormina-os.AKO\Desktop\приложение подсветка\14-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Рис.4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1375" cy="4305300"/>
            <wp:effectExtent l="19050" t="0" r="9525" b="0"/>
            <wp:docPr id="89" name="Рисунок 137" descr="C:\Users\kormina-os.AKO\Desktop\приложение подсветка\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C:\Users\kormina-os.AKO\Desktop\приложение подсветка\15-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Рис.5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523875"/>
            <wp:effectExtent l="19050" t="0" r="0" b="0"/>
            <wp:docPr id="90" name="Рисунок 138" descr="C:\Users\kormina-os.AKO\Desktop\приложение подсветка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C:\Users\kormina-os.AKO\Desktop\приложение подсветка\6-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24150" cy="2257425"/>
            <wp:effectExtent l="19050" t="0" r="0" b="0"/>
            <wp:docPr id="91" name="Рисунок 139" descr="C:\Users\kormina-os.AKO\Desktop\приложение подсветка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C:\Users\kormina-os.AKO\Desktop\приложение подсветка\6-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Рис.6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8400" cy="428625"/>
            <wp:effectExtent l="19050" t="0" r="0" b="0"/>
            <wp:docPr id="92" name="Рисунок 167" descr="C:\Users\kormina-os.AKO\Desktop\приложение подсветка\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C:\Users\kormina-os.AKO\Desktop\приложение подсветка\16-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2962275"/>
            <wp:effectExtent l="19050" t="0" r="0" b="0"/>
            <wp:docPr id="93" name="Рисунок 169" descr="C:\Users\kormina-os.AKO\Desktop\приложение подсветка\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C:\Users\kormina-os.AKO\Desktop\приложение подсветка\16-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Рис.7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466725"/>
            <wp:effectExtent l="19050" t="0" r="9525" b="0"/>
            <wp:docPr id="94" name="Рисунок 142" descr="C:\Users\kormina-os.AKO\Desktop\приложение подсветка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C:\Users\kormina-os.AKO\Desktop\приложение подсветка\8-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2181225"/>
            <wp:effectExtent l="19050" t="0" r="0" b="0"/>
            <wp:docPr id="95" name="Рисунок 143" descr="C:\Users\kormina-os.AKO\Desktop\приложение подсветка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C:\Users\kormina-os.AKO\Desktop\приложение подсветка\8-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Рис.8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8875" cy="457200"/>
            <wp:effectExtent l="19050" t="0" r="9525" b="0"/>
            <wp:docPr id="96" name="Рисунок 153" descr="C:\Users\kormina-os.AKO\Desktop\приложение подсветка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C:\Users\kormina-os.AKO\Desktop\приложение подсветка\9-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67025" cy="2276475"/>
            <wp:effectExtent l="19050" t="0" r="9525" b="0"/>
            <wp:docPr id="97" name="Рисунок 152" descr="C:\Users\kormina-os.AKO\Desktop\приложение подсветка\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C:\Users\kormina-os.AKO\Desktop\приложение подсветка\9-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Рис.9</w:t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1725" cy="457200"/>
            <wp:effectExtent l="19050" t="0" r="9525" b="0"/>
            <wp:docPr id="98" name="Рисунок 150" descr="C:\Users\kormina-os.AKO\Desktop\приложение подсветка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C:\Users\kormina-os.AKO\Desktop\приложение подсветка\10-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82" w:rsidRDefault="00C71982" w:rsidP="00C71982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190750"/>
            <wp:effectExtent l="19050" t="0" r="0" b="0"/>
            <wp:docPr id="99" name="Рисунок 151" descr="C:\Users\kormina-os.AKO\Desktop\приложение подсветка\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C:\Users\kormina-os.AKO\Desktop\приложение подсветка\10-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Рис.10</w:t>
      </w:r>
    </w:p>
    <w:p w:rsidR="002A7254" w:rsidRDefault="002A7254" w:rsidP="00C71982">
      <w:pPr>
        <w:pStyle w:val="Default"/>
        <w:jc w:val="center"/>
        <w:rPr>
          <w:sz w:val="28"/>
          <w:szCs w:val="28"/>
        </w:rPr>
      </w:pP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Ландшафтная подсветка – декоративное освещение зеленых насаждений, других элементов ландшафта и благоустройства в парках, скверах, пешеходных зонах с целью проявления их декоративно-художественных особенностей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Декоративная подсветка - художественно-декоративное оформление светом элементов ландшафта, водоемов, фонтанов и малых архитектурных форм, а также участков территорий парков, скверов, набережных, площадей и общественных зданий различного назначения, которое может выполняться с использованием различных светильников, светодиодных гирлянд, сетей, гибкого шнура, лазерных проекторов (рис. 4 приложения № 5).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Проекционная подсветка - создание 3D-световых изображений на плоскости, поверхности при помощи уличного проектора (проекторов).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Функциональное наружное освещение – освещение проезжей части магистралей, тоннелей, эстакад, мостов, улиц, площадей, автостоянок, функциональных зон аэропортов и территорий спортивных сооружений, а также пешеходных путей городских территорий с целью обеспечения безопасного движения автотранспорта и пешеходов (рис. 8 приложения № 5).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Праздничная иллюминация – декоративное освещение, оформление, предназначенное для украшения улиц, площадей, зданий, сооружений, нестационарных торговых объектов и элементов ландшафта без необходимости создания определенного уровня освещенности.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1.7. Светодинамическая подсветка – использование цвета, светоцветовой динамики, светопроекций и создание световых эффектов с помощью лазерных и прожекторных пучков света. Рекомендуется применение программируемых RGB светильников. Данный вид подсветки фасадов возможно программировать относительно времени года, погодных условий, в такт музыке.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1.8. Акцентная подсветка – выделение светом (белым или цветным, постоянным или динамичным) отдельных объектов и деталей на менее освещенном фоне.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Заливающая подсветка – равномерное освещение поверхности объекта по всей площади или участка местности прожекторами заливающего света, удаленными на расчетное расстояние от объекта, без выделения отдельных его частей.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Контурная подсветка – выделение основных архитектурных деталей зданий, строений, сооружений световыми линиями на фоне слабоосвещенных или светящихся фасадов. Выполняется с использованием гирлянд, шнуров или линейных светильников.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Световая живопись - проекционные многоцветные изображения статического или динамического характера на зданиях, строениях, сооружениях, элементах ландшафта, осуществляемые мощными прожекторами. </w:t>
      </w:r>
    </w:p>
    <w:p w:rsidR="00C71982" w:rsidRDefault="00C71982" w:rsidP="002A725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 Светящийся фасад – выделение светопропускающего (остекленного) фасада с помощью осветительных проборов, установленных внутри здания и направленных на стекло.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</w:p>
    <w:p w:rsidR="00C71982" w:rsidRDefault="00C71982" w:rsidP="00362BFE">
      <w:pPr>
        <w:pStyle w:val="Default"/>
        <w:numPr>
          <w:ilvl w:val="0"/>
          <w:numId w:val="8"/>
        </w:numPr>
        <w:jc w:val="center"/>
        <w:rPr>
          <w:bCs/>
          <w:sz w:val="28"/>
          <w:szCs w:val="28"/>
        </w:rPr>
      </w:pPr>
      <w:r w:rsidRPr="00F049AF">
        <w:rPr>
          <w:bCs/>
          <w:sz w:val="28"/>
          <w:szCs w:val="28"/>
        </w:rPr>
        <w:t>Основные цели формирования архитектурно-художественной подсветки</w:t>
      </w:r>
    </w:p>
    <w:p w:rsidR="00362BFE" w:rsidRPr="00F049AF" w:rsidRDefault="00362BFE" w:rsidP="00362BFE">
      <w:pPr>
        <w:pStyle w:val="Default"/>
        <w:ind w:left="720"/>
        <w:rPr>
          <w:sz w:val="28"/>
          <w:szCs w:val="28"/>
        </w:rPr>
      </w:pPr>
    </w:p>
    <w:p w:rsidR="00C71982" w:rsidRDefault="00362BFE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1982">
        <w:rPr>
          <w:sz w:val="28"/>
          <w:szCs w:val="28"/>
        </w:rPr>
        <w:t xml:space="preserve">2.1. Основными целями формирования архитектурно-художественной подсветки зданий, строений, сооружений, нестационарных торговых объектов являются: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освещение объектов и окружающей территории с целью обеспечения оптимальной ориентации человека в пространстве и его комфортное пребывание в вечернее и ночное время;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акцента на наиболее важные функциональные объекты;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светом наиболее характерных для населенного пункта архитектуры зданий, формирование значимых световых видов и панорам;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цветных акцентов и композиций с целью внесения элементов праздника и динамичности в городскую среду;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гармонизация светотехнических параметров всех систем освещения: уличного освещения, архитектурно-художественного освещения фасадов, освещения инженерных сооружений, витрин, световой информации и рекламы, праздничной иллюминации.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F049AF">
        <w:rPr>
          <w:bCs/>
          <w:sz w:val="28"/>
          <w:szCs w:val="28"/>
        </w:rPr>
        <w:t>Требования к световому оборудованию</w:t>
      </w:r>
    </w:p>
    <w:p w:rsidR="00362BFE" w:rsidRPr="00F049AF" w:rsidRDefault="00362BFE" w:rsidP="00362BFE">
      <w:pPr>
        <w:pStyle w:val="Default"/>
        <w:ind w:left="720"/>
        <w:rPr>
          <w:sz w:val="28"/>
          <w:szCs w:val="28"/>
        </w:rPr>
      </w:pPr>
    </w:p>
    <w:p w:rsidR="00C71982" w:rsidRDefault="00362BFE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1982">
        <w:rPr>
          <w:sz w:val="28"/>
          <w:szCs w:val="28"/>
        </w:rPr>
        <w:t xml:space="preserve">3.1. Применяемое световое оборудование не должно наносить ущерб внешнему виду и техническому состоянию фасадов зданий, строений, сооружений, нестационарных торговых объектов, нарушать прочностные </w:t>
      </w:r>
      <w:r w:rsidR="00C71982">
        <w:rPr>
          <w:sz w:val="28"/>
          <w:szCs w:val="28"/>
        </w:rPr>
        <w:lastRenderedPageBreak/>
        <w:t>характеристики несущих элементов объекта недвижимости, к которому оно присоединяется, затруднять или делать невозможным функционирование</w:t>
      </w:r>
      <w:r w:rsidR="003F5B21">
        <w:rPr>
          <w:sz w:val="28"/>
          <w:szCs w:val="28"/>
        </w:rPr>
        <w:t xml:space="preserve"> </w:t>
      </w:r>
      <w:r w:rsidR="00C71982">
        <w:rPr>
          <w:sz w:val="28"/>
          <w:szCs w:val="28"/>
        </w:rPr>
        <w:t xml:space="preserve">объектов инженерной инфраструктуры.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1982">
        <w:rPr>
          <w:sz w:val="28"/>
          <w:szCs w:val="28"/>
        </w:rPr>
        <w:t xml:space="preserve">3.2. Наружные элементы установок архитектурно-художественной подсветки не должны визуально выделяться на внешнем облике объекта подсветки.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1982">
        <w:rPr>
          <w:sz w:val="28"/>
          <w:szCs w:val="28"/>
        </w:rPr>
        <w:t xml:space="preserve">3.3. Подсветка зданий, строений, сооружений, нестационарных торговых объектов должна выполняться в соответствии с архитектурным решением, согласованным в порядке, установленном правовым актом администрации Калтанского городского округа.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3.4. Размещение установок архитектурно-художественной подсветки должно соответствовать архитектурному облику городской застройки.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71982">
        <w:rPr>
          <w:sz w:val="28"/>
          <w:szCs w:val="28"/>
        </w:rPr>
        <w:t xml:space="preserve">3.5. Световое оборудование для всех видов подсветки должно соответствовать уличным условиям эксплуатации, обеспечивать комфортное обслуживание, вандалозащищенность, ударопрочность, электро- и пожаробезопасность, предусматривать заземление всех световых приборов, быть энергоэффективным, компактным, ремонтопригодным.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1982">
        <w:rPr>
          <w:sz w:val="28"/>
          <w:szCs w:val="28"/>
        </w:rPr>
        <w:t xml:space="preserve">3.6. Включение и отключение установок архитектурно-художественной подсветки должно осуществляться в соответствии с графиком включения и отключения наружного освещения населенных пунктов.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F049AF">
        <w:rPr>
          <w:bCs/>
          <w:sz w:val="28"/>
          <w:szCs w:val="28"/>
        </w:rPr>
        <w:t>Способы формирования единой светоцветовой среды города</w:t>
      </w:r>
    </w:p>
    <w:p w:rsidR="003F5B21" w:rsidRPr="00F049AF" w:rsidRDefault="003F5B21" w:rsidP="003F5B21">
      <w:pPr>
        <w:pStyle w:val="Default"/>
        <w:ind w:left="720"/>
        <w:rPr>
          <w:sz w:val="28"/>
          <w:szCs w:val="28"/>
        </w:rPr>
      </w:pP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4.1. Гармоничное сочетание видов архитектурно-художественной подсветки, использование светодинамических режимов для праздничного и событийного оформления города.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4.2. Использование в территориях общего пользования и рекреационных зонах населенных пунктов в архитектурном освещении, архитектурно-художественной подсветке света белого цвета.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4.3. Включение объектов архитектурной и композиционной значимости в светоцветовые пространства в качестве акцентов или доминант, формируемых средствами архитектурно-художественной подсветки и отдельными элементами световой рекламы и информации;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4.4. Формирование значимых световых видов и панорам, наблюдаемых с определенных точек обзора;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4.5. Формирование светового силуэта: архитектурно-художественной подсветкой неосвещенных и корректировкой ряда освещенных силуэтов объектов культурного наследия и современных высотных зданий, строений, сооружений;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4.6. Применение комплексной архитектурно-художественной подсветки визуально связанных объектов (например, входящих в архитектурный ансамбль общественного пространства (площади, участка проспекта), находящихся на противоположных сторонах перекрестка);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1982">
        <w:rPr>
          <w:sz w:val="28"/>
          <w:szCs w:val="28"/>
        </w:rPr>
        <w:t xml:space="preserve">4.7. Акцентирование верхних частей зданий приемами архитектурно-художественной подсветки и элементами световой рекламы;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1982">
        <w:rPr>
          <w:sz w:val="28"/>
          <w:szCs w:val="28"/>
        </w:rPr>
        <w:t xml:space="preserve">4.8. Акцентирование приемами архитектурно-художественной подсветки пешеходных и транспортных мостов;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C71982">
        <w:rPr>
          <w:sz w:val="28"/>
          <w:szCs w:val="28"/>
        </w:rPr>
        <w:t xml:space="preserve">4.9. Применение систем встроенных светильников в покрытия, лестницы, парапеты и другие элементы благоустройства; </w:t>
      </w:r>
    </w:p>
    <w:p w:rsidR="00C71982" w:rsidRDefault="003F5B21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982">
        <w:rPr>
          <w:sz w:val="28"/>
          <w:szCs w:val="28"/>
        </w:rPr>
        <w:t xml:space="preserve">4.10. Развитие цветных акцентов и композиций с целью внесения элементов красочности и динамичности в городскую среду путем: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формирования цветных композиций, образуемых отдельными элементами световой рекламы и информации, оформленными витражами;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использования цветной художественно-декоративной подсветки элементов рельефа, озеленения, водоемов, фонтанов, малых архитектурных форм, нестационарных торговых объектов;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использования цветового спектра основного освещения в городе в диапазоне от янтарного до нейтрально-белого с возможным использованием многоцветных светодиодных светильников для наиболее активных светодинамических участков;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направления основного света вверх, с целью концентрации внимания на освещаемых объектах и деталях.</w:t>
      </w:r>
    </w:p>
    <w:p w:rsidR="003F5B21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71982" w:rsidRDefault="00C71982" w:rsidP="002A7254">
      <w:pPr>
        <w:pStyle w:val="Default"/>
        <w:numPr>
          <w:ilvl w:val="0"/>
          <w:numId w:val="8"/>
        </w:numPr>
        <w:ind w:left="-142" w:firstLine="502"/>
        <w:jc w:val="both"/>
        <w:rPr>
          <w:bCs/>
          <w:sz w:val="28"/>
          <w:szCs w:val="28"/>
        </w:rPr>
      </w:pPr>
      <w:r w:rsidRPr="00F049AF">
        <w:rPr>
          <w:bCs/>
          <w:sz w:val="28"/>
          <w:szCs w:val="28"/>
        </w:rPr>
        <w:t>Общие требования к выполнению подсветки и освещения в территориях общего пользования и рекреационных зонах</w:t>
      </w:r>
    </w:p>
    <w:p w:rsidR="003F5B21" w:rsidRPr="00F049AF" w:rsidRDefault="003F5B21" w:rsidP="002A7254">
      <w:pPr>
        <w:pStyle w:val="Default"/>
        <w:ind w:left="720"/>
        <w:jc w:val="both"/>
        <w:rPr>
          <w:sz w:val="28"/>
          <w:szCs w:val="28"/>
        </w:rPr>
      </w:pPr>
    </w:p>
    <w:p w:rsidR="00C71982" w:rsidRDefault="00C71982" w:rsidP="003F5B2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При выполнении функционального освещения, архитектурно-художественной, декоративной, ландшафтной подсветки необходимо подчеркивать целостность пространства с выделением доминант, созданием фонового и главного планов, выявлять средствами функционального наружного освещения и знаками городской информации с внутренним подсветом функционально-планировочную структуру объекта. </w:t>
      </w:r>
    </w:p>
    <w:p w:rsidR="00C71982" w:rsidRDefault="00C71982" w:rsidP="003F5B2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Допускается комбинирование функционального и архитектурно-художественного освещения, декоративной, ландшафтной подсветки, использование опор уличного освещения для подсветки фасадов, деревьев, иных объектов или применения специальных конструкций, одновременно решающих задачи освещения и подсветки (мультипрожекторные системы, многофункциональные опоры освещения с элементами знаков городской информации). </w:t>
      </w:r>
    </w:p>
    <w:p w:rsidR="00C71982" w:rsidRDefault="00C71982" w:rsidP="003F5B2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Ландшафтная, декоративная подсветка состоят в акцентирующей подсветке цветников, кроны деревьев, подсветке газонного покрытия, аллей, дорожек, фонтанов, малых архитектурных форм, с помощью светильников, встраиваемых в конструкцию уличной мебели, в элементы инфраструктуры и благоустройства (покрытия, лестницы, парапеты, перила, ограждающие элементы). При ландшафтной, декоративной подсветке допускается применение различных типов и приемов освещения, включая свето- и цветодинамическое, а также праздничную иллюминацию. </w:t>
      </w:r>
    </w:p>
    <w:p w:rsidR="00C71982" w:rsidRDefault="00C71982" w:rsidP="003F5B2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При выполнении подсветки объектов монументального искусства (памятники, монументальные скульптурные композиции, монументы): используется белый цвет различных оттенков (теплый, нейтральный, холодный). </w:t>
      </w:r>
    </w:p>
    <w:p w:rsidR="00C71982" w:rsidRDefault="00C71982" w:rsidP="003F5B2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Для усиления выразительности локально, в том числе для подсветки прилегающих к памятникам территорий, допускается применение цветного освещения. </w:t>
      </w:r>
    </w:p>
    <w:p w:rsidR="00C71982" w:rsidRPr="00605CCD" w:rsidRDefault="00C71982" w:rsidP="003F5B2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5.6. Для архитектурного освещения магазинов, торговых центров, спортивных объектов, домов культуры допускается применение любых типов и приемов архитектурного освещения с учетом требований </w:t>
      </w:r>
      <w:r w:rsidRPr="00605CCD">
        <w:rPr>
          <w:color w:val="auto"/>
          <w:sz w:val="28"/>
          <w:szCs w:val="28"/>
        </w:rPr>
        <w:t xml:space="preserve">пункта 7 настоящего приложения Правил. </w:t>
      </w:r>
    </w:p>
    <w:p w:rsidR="00C71982" w:rsidRDefault="00C71982" w:rsidP="003F5B2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При устройстве архитектурно-художественной подсветки многоквартирных домов осветительные приборы размещаются на глухих стенах, фризах, лестничных клетках, технических этажах, эксплуатируемой кровле, других нежилых частях, а также фасадах и входных группах в помещения торгового и иного общественного назначения, расположенные в нежилой части зданий, строений, сооружений. </w:t>
      </w:r>
    </w:p>
    <w:p w:rsidR="00C71982" w:rsidRDefault="00C71982" w:rsidP="003F5B2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Для зданий, строений, сооружений современной архитектуры, расположенных вне территории общего пользования, помимо базовых типов подсветки (заливающая, акцентная, контурная), в праздничном режиме допустима проекционная и светодинамическая подсветка. </w:t>
      </w:r>
    </w:p>
    <w:p w:rsidR="003F5B21" w:rsidRDefault="003F5B21" w:rsidP="003F5B21">
      <w:pPr>
        <w:pStyle w:val="Default"/>
        <w:ind w:firstLine="567"/>
        <w:jc w:val="both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8"/>
        </w:numPr>
        <w:ind w:left="-426" w:firstLine="786"/>
        <w:jc w:val="both"/>
        <w:rPr>
          <w:bCs/>
          <w:sz w:val="28"/>
          <w:szCs w:val="28"/>
        </w:rPr>
      </w:pPr>
      <w:r w:rsidRPr="00F049AF">
        <w:rPr>
          <w:bCs/>
          <w:sz w:val="28"/>
          <w:szCs w:val="28"/>
        </w:rPr>
        <w:t>Общие требования к выполнению подсветки объектов производственного, складского и коммунального назначения</w:t>
      </w:r>
    </w:p>
    <w:p w:rsidR="003F5B21" w:rsidRPr="00F049AF" w:rsidRDefault="003F5B21" w:rsidP="002A7254">
      <w:pPr>
        <w:pStyle w:val="Default"/>
        <w:ind w:left="720"/>
        <w:jc w:val="both"/>
        <w:rPr>
          <w:sz w:val="28"/>
          <w:szCs w:val="28"/>
        </w:rPr>
      </w:pP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Архитектурно-художественная подсветка высотных, композиционно значимых зданий, строений, сооружений (производственных корпусов, дымовых труб, мостов, эстакад, путепроводов, опор ЛЭП и т.д.), предусматривается при условии их включения в световые виды и панорамы в качестве одного из элементов.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Для подсветки инженерных и инженерно-транспортных сооружений возможно применение всех типов и приемов подсветки, отвечающих действующим нормам и правилам.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При выполнении архитектурно-художественной подсветки объектов промышленной застройки (трубы, электростанции, заводские территории) допускается применение как статической, так и светодинамической или проекционной подсветки с изменением яркости, цвета и тематики изображения, использование световой живописи, элементов световой информации, праздничной иллюминации.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</w:p>
    <w:p w:rsidR="00C71982" w:rsidRDefault="00C71982" w:rsidP="002A7254">
      <w:pPr>
        <w:pStyle w:val="Default"/>
        <w:numPr>
          <w:ilvl w:val="0"/>
          <w:numId w:val="8"/>
        </w:numPr>
        <w:ind w:left="-284" w:firstLine="644"/>
        <w:jc w:val="both"/>
        <w:rPr>
          <w:sz w:val="28"/>
          <w:szCs w:val="28"/>
        </w:rPr>
      </w:pPr>
      <w:r w:rsidRPr="00F049AF">
        <w:rPr>
          <w:bCs/>
          <w:sz w:val="28"/>
          <w:szCs w:val="28"/>
        </w:rPr>
        <w:t>Общие требования к освещению, архитектурно-художественной, декоративной, ландшафтной подсветке на территории общего пользовани</w:t>
      </w:r>
      <w:r w:rsidRPr="00F049AF">
        <w:rPr>
          <w:sz w:val="28"/>
          <w:szCs w:val="28"/>
        </w:rPr>
        <w:t>я</w:t>
      </w:r>
    </w:p>
    <w:p w:rsidR="003F5B21" w:rsidRPr="00F049AF" w:rsidRDefault="003F5B21" w:rsidP="003F5B21">
      <w:pPr>
        <w:pStyle w:val="Default"/>
        <w:ind w:left="720"/>
        <w:rPr>
          <w:sz w:val="28"/>
          <w:szCs w:val="28"/>
        </w:rPr>
      </w:pP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При устройстве наружного освещения, проведении капитального ремонта наружного освещения территории общего пользования необходимо предусматривать прокладку сетей подземным способом.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Для культовых зданий, строений, сооружений необходимо применять заливающую подсветку с акцентным выделением верхних частей (куполов, шпилей, полумесяцев).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На зданиях ранее 1953 года постройки должен применяться скрытый характер установки светильников и размещения электропроводки либо корпус светильников и электропроводки должен быть окрашен в цвет фасада.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В целях создания единой светоцветовой среды не допускается: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средств функционального освещения с холодной световой температурой (более 3000 К) на территории общего пользования, сооружений – </w:t>
      </w:r>
      <w:r>
        <w:rPr>
          <w:sz w:val="28"/>
          <w:szCs w:val="28"/>
        </w:rPr>
        <w:lastRenderedPageBreak/>
        <w:t xml:space="preserve">использование контурной, цветной подсветки, светодинамических эффектов (за исключением праздничного режима);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превышение яркости освещенных фасадов зданий, не имеющих исторической или художественной ценности, по сравнению с яркостью фасадов зданий, расположенных в зоне охраны объектов культурного наследия;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контурной, цветной и светодинамической подсветки на фасадах зданий, расположенных в зоне охраны объектов культурного наследия;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световой рекламы и информации, подсветки витражей, ведущее к подавлению светом, цветом и рисунком архитектурных особенностей зданий и исключающее здания из зрительного восприятия световых композиций либо ведущее к освещению частей зданий, строений, сооружений без учета архитектурного решения;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ориентация выходных отверстий прожекторов, допускающая ослепление наблюдателей, водителей автотранспортных средств; </w:t>
      </w:r>
    </w:p>
    <w:p w:rsidR="00C71982" w:rsidRDefault="00C71982" w:rsidP="003F5B21">
      <w:pPr>
        <w:pStyle w:val="Default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изменение цветности ламп в процессе эксплуатации при использовании для архитектурно-художественной подсветки зданий, строений, сооружений;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резкое колебание освещенности и яркости, источниками которых являются светодиодные экраны в моменты демонстрации видео роликов со значительным (более 50% от общей площади изображения) содержанием белого фона. </w:t>
      </w:r>
    </w:p>
    <w:p w:rsidR="00C71982" w:rsidRDefault="00C71982" w:rsidP="00C71982">
      <w:pPr>
        <w:pStyle w:val="Default"/>
        <w:jc w:val="both"/>
        <w:rPr>
          <w:sz w:val="28"/>
          <w:szCs w:val="28"/>
        </w:rPr>
      </w:pPr>
    </w:p>
    <w:p w:rsidR="00C71982" w:rsidRDefault="00C71982" w:rsidP="00393F03">
      <w:pPr>
        <w:pStyle w:val="Default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F049AF">
        <w:rPr>
          <w:bCs/>
          <w:sz w:val="28"/>
          <w:szCs w:val="28"/>
        </w:rPr>
        <w:t>Требования к содержанию осветительного оборудования</w:t>
      </w:r>
    </w:p>
    <w:p w:rsidR="003F5B21" w:rsidRDefault="003F5B21" w:rsidP="00393F03">
      <w:pPr>
        <w:pStyle w:val="Default"/>
        <w:ind w:left="720"/>
        <w:jc w:val="both"/>
        <w:rPr>
          <w:bCs/>
          <w:sz w:val="28"/>
          <w:szCs w:val="28"/>
        </w:rPr>
      </w:pPr>
    </w:p>
    <w:p w:rsidR="00C71982" w:rsidRDefault="00C71982" w:rsidP="003F5B21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Осветительное оборудование должно содержаться в исправном состоянии. Собственники (владельцы, пользователи), в ведении которых находится световое оборудование, обязаны: </w:t>
      </w:r>
    </w:p>
    <w:p w:rsidR="00C71982" w:rsidRDefault="00C71982" w:rsidP="003F5B21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обеспечивать надлежащее содержание и ремонт устройств освещения и подсветки, при нарушении или повреждении производить своевременный ремонт; </w:t>
      </w:r>
    </w:p>
    <w:p w:rsidR="00C71982" w:rsidRDefault="00C71982" w:rsidP="003F5B21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соблюдать правила установки, содержания, размещения и эксплуатации осветительного оборудования; </w:t>
      </w:r>
    </w:p>
    <w:p w:rsidR="00C71982" w:rsidRDefault="00C71982" w:rsidP="003F5B21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своевременное включение и отключение освещения в соответствии с графиком включения и отключения наружного освещения населенных пунктов Калтанского городского округа; </w:t>
      </w:r>
    </w:p>
    <w:p w:rsidR="00C71982" w:rsidRDefault="00C71982" w:rsidP="003F5B21">
      <w:pPr>
        <w:autoSpaceDE w:val="0"/>
        <w:autoSpaceDN w:val="0"/>
        <w:adjustRightInd w:val="0"/>
        <w:ind w:firstLine="426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обеспечивать нормативную освещенность согласно требованиям СП 52.13330.2016. «Свод правил. Естественное и искусственное освещение. Актуализированная редакция СНиП 23-05-95*.</w:t>
      </w:r>
    </w:p>
    <w:p w:rsidR="00C71982" w:rsidRDefault="00C71982" w:rsidP="003F5B21">
      <w:pPr>
        <w:ind w:left="-284" w:firstLine="426"/>
        <w:jc w:val="both"/>
        <w:rPr>
          <w:b/>
          <w:sz w:val="28"/>
          <w:szCs w:val="28"/>
        </w:rPr>
      </w:pPr>
    </w:p>
    <w:p w:rsidR="00DF01C7" w:rsidRDefault="00DF01C7" w:rsidP="009A3996">
      <w:pPr>
        <w:ind w:left="-284"/>
        <w:jc w:val="both"/>
        <w:rPr>
          <w:b/>
          <w:sz w:val="28"/>
          <w:szCs w:val="28"/>
        </w:rPr>
      </w:pPr>
    </w:p>
    <w:sectPr w:rsidR="00DF01C7" w:rsidSect="00FB2858">
      <w:pgSz w:w="11906" w:h="16838"/>
      <w:pgMar w:top="709" w:right="851" w:bottom="567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77F" w:rsidRDefault="0007377F" w:rsidP="007D2DF3">
      <w:r>
        <w:separator/>
      </w:r>
    </w:p>
  </w:endnote>
  <w:endnote w:type="continuationSeparator" w:id="0">
    <w:p w:rsidR="0007377F" w:rsidRDefault="0007377F" w:rsidP="007D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77F" w:rsidRDefault="0007377F" w:rsidP="007D2DF3">
      <w:r>
        <w:separator/>
      </w:r>
    </w:p>
  </w:footnote>
  <w:footnote w:type="continuationSeparator" w:id="0">
    <w:p w:rsidR="0007377F" w:rsidRDefault="0007377F" w:rsidP="007D2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81E8F"/>
    <w:multiLevelType w:val="hybridMultilevel"/>
    <w:tmpl w:val="68AAAC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2E202E0"/>
    <w:multiLevelType w:val="hybridMultilevel"/>
    <w:tmpl w:val="6826D062"/>
    <w:lvl w:ilvl="0" w:tplc="11AEAB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A884155"/>
    <w:multiLevelType w:val="hybridMultilevel"/>
    <w:tmpl w:val="F4B8DCDA"/>
    <w:lvl w:ilvl="0" w:tplc="00BEBDE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3" w15:restartNumberingAfterBreak="0">
    <w:nsid w:val="44581908"/>
    <w:multiLevelType w:val="hybridMultilevel"/>
    <w:tmpl w:val="7B68A38E"/>
    <w:lvl w:ilvl="0" w:tplc="A4DC2AE8">
      <w:start w:val="1"/>
      <w:numFmt w:val="decimal"/>
      <w:lvlText w:val="%1."/>
      <w:lvlJc w:val="left"/>
      <w:pPr>
        <w:ind w:left="730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0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7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4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1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9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6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3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066" w:hanging="180"/>
      </w:pPr>
      <w:rPr>
        <w:rFonts w:cs="Times New Roman"/>
      </w:rPr>
    </w:lvl>
  </w:abstractNum>
  <w:abstractNum w:abstractNumId="4" w15:restartNumberingAfterBreak="0">
    <w:nsid w:val="44F06B7B"/>
    <w:multiLevelType w:val="hybridMultilevel"/>
    <w:tmpl w:val="B630E2B4"/>
    <w:lvl w:ilvl="0" w:tplc="4B1E5614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 w15:restartNumberingAfterBreak="0">
    <w:nsid w:val="63562D0F"/>
    <w:multiLevelType w:val="hybridMultilevel"/>
    <w:tmpl w:val="8FCE5F26"/>
    <w:lvl w:ilvl="0" w:tplc="C0368108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84D0493"/>
    <w:multiLevelType w:val="hybridMultilevel"/>
    <w:tmpl w:val="C1160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F2F8B"/>
    <w:multiLevelType w:val="hybridMultilevel"/>
    <w:tmpl w:val="7C485BB8"/>
    <w:lvl w:ilvl="0" w:tplc="F7E21F72">
      <w:start w:val="1"/>
      <w:numFmt w:val="decimal"/>
      <w:lvlText w:val="%1."/>
      <w:lvlJc w:val="left"/>
      <w:pPr>
        <w:tabs>
          <w:tab w:val="num" w:pos="1743"/>
        </w:tabs>
        <w:ind w:left="1743" w:hanging="103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05A"/>
    <w:rsid w:val="000041DE"/>
    <w:rsid w:val="00006A96"/>
    <w:rsid w:val="000148B5"/>
    <w:rsid w:val="00021FAD"/>
    <w:rsid w:val="00034DBE"/>
    <w:rsid w:val="00042D91"/>
    <w:rsid w:val="00044C98"/>
    <w:rsid w:val="00066F7C"/>
    <w:rsid w:val="00067557"/>
    <w:rsid w:val="000676EF"/>
    <w:rsid w:val="00070A87"/>
    <w:rsid w:val="00071134"/>
    <w:rsid w:val="0007377F"/>
    <w:rsid w:val="00073881"/>
    <w:rsid w:val="000739B7"/>
    <w:rsid w:val="00074893"/>
    <w:rsid w:val="00090085"/>
    <w:rsid w:val="00093695"/>
    <w:rsid w:val="000B1699"/>
    <w:rsid w:val="000B686A"/>
    <w:rsid w:val="000B705A"/>
    <w:rsid w:val="000E0879"/>
    <w:rsid w:val="000E2816"/>
    <w:rsid w:val="000F0508"/>
    <w:rsid w:val="000F1C5A"/>
    <w:rsid w:val="000F3A5A"/>
    <w:rsid w:val="000F5585"/>
    <w:rsid w:val="000F693C"/>
    <w:rsid w:val="000F6F1B"/>
    <w:rsid w:val="00102318"/>
    <w:rsid w:val="0010264C"/>
    <w:rsid w:val="0010489B"/>
    <w:rsid w:val="0010664D"/>
    <w:rsid w:val="00111594"/>
    <w:rsid w:val="00115706"/>
    <w:rsid w:val="00117783"/>
    <w:rsid w:val="001212CF"/>
    <w:rsid w:val="0012698F"/>
    <w:rsid w:val="00132865"/>
    <w:rsid w:val="001367AD"/>
    <w:rsid w:val="00136D31"/>
    <w:rsid w:val="001447F7"/>
    <w:rsid w:val="001473E5"/>
    <w:rsid w:val="001546FB"/>
    <w:rsid w:val="00155738"/>
    <w:rsid w:val="00164721"/>
    <w:rsid w:val="00167530"/>
    <w:rsid w:val="00183CCE"/>
    <w:rsid w:val="0018557A"/>
    <w:rsid w:val="00195738"/>
    <w:rsid w:val="0019670E"/>
    <w:rsid w:val="001A0213"/>
    <w:rsid w:val="001A30D3"/>
    <w:rsid w:val="001A333F"/>
    <w:rsid w:val="001A494F"/>
    <w:rsid w:val="001C00C4"/>
    <w:rsid w:val="001C2127"/>
    <w:rsid w:val="001C279A"/>
    <w:rsid w:val="001D10A0"/>
    <w:rsid w:val="001D1254"/>
    <w:rsid w:val="001D5AC1"/>
    <w:rsid w:val="001D5EA1"/>
    <w:rsid w:val="001D63A8"/>
    <w:rsid w:val="001E0C61"/>
    <w:rsid w:val="001E1EBE"/>
    <w:rsid w:val="001E5481"/>
    <w:rsid w:val="001F1708"/>
    <w:rsid w:val="001F4E1B"/>
    <w:rsid w:val="001F6237"/>
    <w:rsid w:val="0020332C"/>
    <w:rsid w:val="002035DA"/>
    <w:rsid w:val="0020455A"/>
    <w:rsid w:val="00214F7D"/>
    <w:rsid w:val="002176D9"/>
    <w:rsid w:val="00220A60"/>
    <w:rsid w:val="00220E73"/>
    <w:rsid w:val="00224179"/>
    <w:rsid w:val="00224433"/>
    <w:rsid w:val="00227A81"/>
    <w:rsid w:val="002313BC"/>
    <w:rsid w:val="00234198"/>
    <w:rsid w:val="002357B2"/>
    <w:rsid w:val="00240E3B"/>
    <w:rsid w:val="00241522"/>
    <w:rsid w:val="002418D0"/>
    <w:rsid w:val="00252CA3"/>
    <w:rsid w:val="00253CAF"/>
    <w:rsid w:val="0025746C"/>
    <w:rsid w:val="002601FA"/>
    <w:rsid w:val="002619FD"/>
    <w:rsid w:val="00272DE2"/>
    <w:rsid w:val="00275E9D"/>
    <w:rsid w:val="00276384"/>
    <w:rsid w:val="002769DC"/>
    <w:rsid w:val="0028247D"/>
    <w:rsid w:val="00287C24"/>
    <w:rsid w:val="002A2DA0"/>
    <w:rsid w:val="002A7254"/>
    <w:rsid w:val="002B0EEB"/>
    <w:rsid w:val="002B31FB"/>
    <w:rsid w:val="002B44EB"/>
    <w:rsid w:val="002B7C40"/>
    <w:rsid w:val="002C1DE7"/>
    <w:rsid w:val="002C2326"/>
    <w:rsid w:val="002C31F9"/>
    <w:rsid w:val="002C3393"/>
    <w:rsid w:val="002C475A"/>
    <w:rsid w:val="002C61EC"/>
    <w:rsid w:val="002C6FDD"/>
    <w:rsid w:val="002D2531"/>
    <w:rsid w:val="002D3FF0"/>
    <w:rsid w:val="00300200"/>
    <w:rsid w:val="00307192"/>
    <w:rsid w:val="0031267C"/>
    <w:rsid w:val="00312882"/>
    <w:rsid w:val="00313337"/>
    <w:rsid w:val="00320CB0"/>
    <w:rsid w:val="00322E2B"/>
    <w:rsid w:val="003257A4"/>
    <w:rsid w:val="00327FE4"/>
    <w:rsid w:val="00330DC1"/>
    <w:rsid w:val="00332D8B"/>
    <w:rsid w:val="00332DFF"/>
    <w:rsid w:val="003335D5"/>
    <w:rsid w:val="003342EC"/>
    <w:rsid w:val="00336811"/>
    <w:rsid w:val="003432EC"/>
    <w:rsid w:val="00345C7F"/>
    <w:rsid w:val="003517CB"/>
    <w:rsid w:val="003543A4"/>
    <w:rsid w:val="00361900"/>
    <w:rsid w:val="00362121"/>
    <w:rsid w:val="00362BFE"/>
    <w:rsid w:val="0036368E"/>
    <w:rsid w:val="003659BF"/>
    <w:rsid w:val="00366EB2"/>
    <w:rsid w:val="00375581"/>
    <w:rsid w:val="00380D6D"/>
    <w:rsid w:val="003859B4"/>
    <w:rsid w:val="0038696F"/>
    <w:rsid w:val="00391DEC"/>
    <w:rsid w:val="00393F03"/>
    <w:rsid w:val="003966E5"/>
    <w:rsid w:val="003A5F44"/>
    <w:rsid w:val="003B0789"/>
    <w:rsid w:val="003B14AE"/>
    <w:rsid w:val="003C03A7"/>
    <w:rsid w:val="003C05F8"/>
    <w:rsid w:val="003C0980"/>
    <w:rsid w:val="003C1487"/>
    <w:rsid w:val="003C3136"/>
    <w:rsid w:val="003D2AB5"/>
    <w:rsid w:val="003D46BF"/>
    <w:rsid w:val="003E0898"/>
    <w:rsid w:val="003E118B"/>
    <w:rsid w:val="003E2E5C"/>
    <w:rsid w:val="003F3589"/>
    <w:rsid w:val="003F3D74"/>
    <w:rsid w:val="003F57E4"/>
    <w:rsid w:val="003F5B21"/>
    <w:rsid w:val="00401AD0"/>
    <w:rsid w:val="00405E6B"/>
    <w:rsid w:val="00412764"/>
    <w:rsid w:val="004204B6"/>
    <w:rsid w:val="00427176"/>
    <w:rsid w:val="00427E6D"/>
    <w:rsid w:val="00445188"/>
    <w:rsid w:val="004453FC"/>
    <w:rsid w:val="00455A5B"/>
    <w:rsid w:val="0046040B"/>
    <w:rsid w:val="00462CDD"/>
    <w:rsid w:val="00472F23"/>
    <w:rsid w:val="00474842"/>
    <w:rsid w:val="00477028"/>
    <w:rsid w:val="00481B6E"/>
    <w:rsid w:val="00486C5E"/>
    <w:rsid w:val="00493A85"/>
    <w:rsid w:val="00495BA5"/>
    <w:rsid w:val="004B5658"/>
    <w:rsid w:val="004C7296"/>
    <w:rsid w:val="004D0235"/>
    <w:rsid w:val="004D23A0"/>
    <w:rsid w:val="004D29AF"/>
    <w:rsid w:val="004D74BC"/>
    <w:rsid w:val="004E0750"/>
    <w:rsid w:val="004E66C5"/>
    <w:rsid w:val="004F39F8"/>
    <w:rsid w:val="00502277"/>
    <w:rsid w:val="00502B89"/>
    <w:rsid w:val="00502BDD"/>
    <w:rsid w:val="00503BE4"/>
    <w:rsid w:val="005103AB"/>
    <w:rsid w:val="00512F3B"/>
    <w:rsid w:val="005206BC"/>
    <w:rsid w:val="0052218B"/>
    <w:rsid w:val="00522A06"/>
    <w:rsid w:val="0053329F"/>
    <w:rsid w:val="0053693C"/>
    <w:rsid w:val="005416AB"/>
    <w:rsid w:val="0054476D"/>
    <w:rsid w:val="0055003A"/>
    <w:rsid w:val="00564B5E"/>
    <w:rsid w:val="00564FAA"/>
    <w:rsid w:val="0056652F"/>
    <w:rsid w:val="005779C9"/>
    <w:rsid w:val="005825B0"/>
    <w:rsid w:val="005904DC"/>
    <w:rsid w:val="0059279D"/>
    <w:rsid w:val="00593BA9"/>
    <w:rsid w:val="005A22E0"/>
    <w:rsid w:val="005A2C47"/>
    <w:rsid w:val="005A682A"/>
    <w:rsid w:val="005A755B"/>
    <w:rsid w:val="005B3BD8"/>
    <w:rsid w:val="005B7CBE"/>
    <w:rsid w:val="005D191B"/>
    <w:rsid w:val="005D6C83"/>
    <w:rsid w:val="005E0821"/>
    <w:rsid w:val="005E1AE1"/>
    <w:rsid w:val="005E21E3"/>
    <w:rsid w:val="005F0DA4"/>
    <w:rsid w:val="005F107C"/>
    <w:rsid w:val="00600746"/>
    <w:rsid w:val="00601428"/>
    <w:rsid w:val="00605CCD"/>
    <w:rsid w:val="00610FE5"/>
    <w:rsid w:val="00615C14"/>
    <w:rsid w:val="00637C21"/>
    <w:rsid w:val="006719F0"/>
    <w:rsid w:val="0067418D"/>
    <w:rsid w:val="0067463E"/>
    <w:rsid w:val="00676F71"/>
    <w:rsid w:val="00681E06"/>
    <w:rsid w:val="006C4413"/>
    <w:rsid w:val="006C6205"/>
    <w:rsid w:val="006D3F3E"/>
    <w:rsid w:val="006D79D2"/>
    <w:rsid w:val="006E041F"/>
    <w:rsid w:val="006E0669"/>
    <w:rsid w:val="006E4BD4"/>
    <w:rsid w:val="006F1890"/>
    <w:rsid w:val="006F6A24"/>
    <w:rsid w:val="0070591F"/>
    <w:rsid w:val="0071244D"/>
    <w:rsid w:val="00716F93"/>
    <w:rsid w:val="00723A8D"/>
    <w:rsid w:val="00735536"/>
    <w:rsid w:val="00740BCD"/>
    <w:rsid w:val="00743DEE"/>
    <w:rsid w:val="00745434"/>
    <w:rsid w:val="00756DC8"/>
    <w:rsid w:val="0077218E"/>
    <w:rsid w:val="00773157"/>
    <w:rsid w:val="00777AE3"/>
    <w:rsid w:val="007908ED"/>
    <w:rsid w:val="00796746"/>
    <w:rsid w:val="0079768F"/>
    <w:rsid w:val="007A2C16"/>
    <w:rsid w:val="007A43CB"/>
    <w:rsid w:val="007B05AE"/>
    <w:rsid w:val="007B089A"/>
    <w:rsid w:val="007C4B68"/>
    <w:rsid w:val="007D2DF3"/>
    <w:rsid w:val="007D4D24"/>
    <w:rsid w:val="007E06CA"/>
    <w:rsid w:val="007E2936"/>
    <w:rsid w:val="007E3FB1"/>
    <w:rsid w:val="007F0960"/>
    <w:rsid w:val="007F21A7"/>
    <w:rsid w:val="007F4F8D"/>
    <w:rsid w:val="007F524C"/>
    <w:rsid w:val="00803870"/>
    <w:rsid w:val="00815CC0"/>
    <w:rsid w:val="00821ABE"/>
    <w:rsid w:val="0083305B"/>
    <w:rsid w:val="008430AB"/>
    <w:rsid w:val="00843FA4"/>
    <w:rsid w:val="00850CAF"/>
    <w:rsid w:val="00862EF4"/>
    <w:rsid w:val="00864504"/>
    <w:rsid w:val="00864C91"/>
    <w:rsid w:val="008751A6"/>
    <w:rsid w:val="00880F95"/>
    <w:rsid w:val="00882B67"/>
    <w:rsid w:val="0088371A"/>
    <w:rsid w:val="008A31DC"/>
    <w:rsid w:val="008B0767"/>
    <w:rsid w:val="008B22B4"/>
    <w:rsid w:val="008B58EB"/>
    <w:rsid w:val="008D05E0"/>
    <w:rsid w:val="008D6FA4"/>
    <w:rsid w:val="008E048B"/>
    <w:rsid w:val="008E2C45"/>
    <w:rsid w:val="008E72EC"/>
    <w:rsid w:val="008F2F10"/>
    <w:rsid w:val="008F40A8"/>
    <w:rsid w:val="008F7EF6"/>
    <w:rsid w:val="00903516"/>
    <w:rsid w:val="009110AA"/>
    <w:rsid w:val="00911AD6"/>
    <w:rsid w:val="00912908"/>
    <w:rsid w:val="00913866"/>
    <w:rsid w:val="0091599C"/>
    <w:rsid w:val="00917320"/>
    <w:rsid w:val="00933A7B"/>
    <w:rsid w:val="0095432B"/>
    <w:rsid w:val="00957307"/>
    <w:rsid w:val="00966C7C"/>
    <w:rsid w:val="00971FE1"/>
    <w:rsid w:val="00973E6B"/>
    <w:rsid w:val="009801D0"/>
    <w:rsid w:val="00984941"/>
    <w:rsid w:val="009942D8"/>
    <w:rsid w:val="009A02A8"/>
    <w:rsid w:val="009A2260"/>
    <w:rsid w:val="009A3996"/>
    <w:rsid w:val="009B1802"/>
    <w:rsid w:val="009B26A5"/>
    <w:rsid w:val="009B66E9"/>
    <w:rsid w:val="009C659A"/>
    <w:rsid w:val="009D1CC9"/>
    <w:rsid w:val="009D4387"/>
    <w:rsid w:val="009D61C8"/>
    <w:rsid w:val="009D795C"/>
    <w:rsid w:val="009E1AD9"/>
    <w:rsid w:val="009E4BA6"/>
    <w:rsid w:val="009F4D11"/>
    <w:rsid w:val="00A0340D"/>
    <w:rsid w:val="00A12A46"/>
    <w:rsid w:val="00A139C5"/>
    <w:rsid w:val="00A16F93"/>
    <w:rsid w:val="00A27E68"/>
    <w:rsid w:val="00A302E5"/>
    <w:rsid w:val="00A302FF"/>
    <w:rsid w:val="00A3064A"/>
    <w:rsid w:val="00A3329B"/>
    <w:rsid w:val="00A3742A"/>
    <w:rsid w:val="00A41BB3"/>
    <w:rsid w:val="00A43528"/>
    <w:rsid w:val="00A45BCC"/>
    <w:rsid w:val="00A52A58"/>
    <w:rsid w:val="00A5419C"/>
    <w:rsid w:val="00A5645D"/>
    <w:rsid w:val="00A60F1C"/>
    <w:rsid w:val="00A61F49"/>
    <w:rsid w:val="00A63A15"/>
    <w:rsid w:val="00A63AB3"/>
    <w:rsid w:val="00A651B5"/>
    <w:rsid w:val="00A70669"/>
    <w:rsid w:val="00A72DF5"/>
    <w:rsid w:val="00A73C12"/>
    <w:rsid w:val="00A824C2"/>
    <w:rsid w:val="00A9225A"/>
    <w:rsid w:val="00A92AFA"/>
    <w:rsid w:val="00A96C31"/>
    <w:rsid w:val="00A97BC6"/>
    <w:rsid w:val="00AA188C"/>
    <w:rsid w:val="00AA3620"/>
    <w:rsid w:val="00AA3B07"/>
    <w:rsid w:val="00AA3D7A"/>
    <w:rsid w:val="00AA5CFE"/>
    <w:rsid w:val="00AA64B2"/>
    <w:rsid w:val="00AC1203"/>
    <w:rsid w:val="00AC4CB2"/>
    <w:rsid w:val="00AD4AB7"/>
    <w:rsid w:val="00AD4FD0"/>
    <w:rsid w:val="00AD5B0E"/>
    <w:rsid w:val="00AE51BD"/>
    <w:rsid w:val="00AE6AFC"/>
    <w:rsid w:val="00AF6723"/>
    <w:rsid w:val="00B00309"/>
    <w:rsid w:val="00B00E41"/>
    <w:rsid w:val="00B10912"/>
    <w:rsid w:val="00B21F6B"/>
    <w:rsid w:val="00B25D2A"/>
    <w:rsid w:val="00B30A39"/>
    <w:rsid w:val="00B317C7"/>
    <w:rsid w:val="00B3317D"/>
    <w:rsid w:val="00B35A02"/>
    <w:rsid w:val="00B42DBF"/>
    <w:rsid w:val="00B551B9"/>
    <w:rsid w:val="00B702E4"/>
    <w:rsid w:val="00B70884"/>
    <w:rsid w:val="00B831CD"/>
    <w:rsid w:val="00B83423"/>
    <w:rsid w:val="00B850CF"/>
    <w:rsid w:val="00B86B87"/>
    <w:rsid w:val="00B94368"/>
    <w:rsid w:val="00B97B04"/>
    <w:rsid w:val="00BA0B9F"/>
    <w:rsid w:val="00BA1A79"/>
    <w:rsid w:val="00BA2800"/>
    <w:rsid w:val="00BA5167"/>
    <w:rsid w:val="00BB2A8C"/>
    <w:rsid w:val="00BB2D89"/>
    <w:rsid w:val="00BB33EC"/>
    <w:rsid w:val="00BB7E69"/>
    <w:rsid w:val="00BC1F5B"/>
    <w:rsid w:val="00BC37F3"/>
    <w:rsid w:val="00BC4477"/>
    <w:rsid w:val="00BC7C7A"/>
    <w:rsid w:val="00BD0309"/>
    <w:rsid w:val="00BD111E"/>
    <w:rsid w:val="00BE0164"/>
    <w:rsid w:val="00BE5F4D"/>
    <w:rsid w:val="00BE6BF7"/>
    <w:rsid w:val="00BE774C"/>
    <w:rsid w:val="00C018CF"/>
    <w:rsid w:val="00C06AFB"/>
    <w:rsid w:val="00C119B9"/>
    <w:rsid w:val="00C1426E"/>
    <w:rsid w:val="00C20E30"/>
    <w:rsid w:val="00C2702A"/>
    <w:rsid w:val="00C27EB3"/>
    <w:rsid w:val="00C343CE"/>
    <w:rsid w:val="00C35A59"/>
    <w:rsid w:val="00C40D40"/>
    <w:rsid w:val="00C429A0"/>
    <w:rsid w:val="00C45BF7"/>
    <w:rsid w:val="00C57FCC"/>
    <w:rsid w:val="00C66CED"/>
    <w:rsid w:val="00C6727A"/>
    <w:rsid w:val="00C70389"/>
    <w:rsid w:val="00C71982"/>
    <w:rsid w:val="00C72C0A"/>
    <w:rsid w:val="00C84AEC"/>
    <w:rsid w:val="00C92E50"/>
    <w:rsid w:val="00C96A12"/>
    <w:rsid w:val="00CB0C1C"/>
    <w:rsid w:val="00CB41FB"/>
    <w:rsid w:val="00CC24DE"/>
    <w:rsid w:val="00CC4BFF"/>
    <w:rsid w:val="00CC6E72"/>
    <w:rsid w:val="00CD0699"/>
    <w:rsid w:val="00CD4E0B"/>
    <w:rsid w:val="00CE0160"/>
    <w:rsid w:val="00CE1D51"/>
    <w:rsid w:val="00CE3FA4"/>
    <w:rsid w:val="00CE753C"/>
    <w:rsid w:val="00CF39DC"/>
    <w:rsid w:val="00D001F1"/>
    <w:rsid w:val="00D03622"/>
    <w:rsid w:val="00D177DD"/>
    <w:rsid w:val="00D258D1"/>
    <w:rsid w:val="00D324BC"/>
    <w:rsid w:val="00D325CB"/>
    <w:rsid w:val="00D33689"/>
    <w:rsid w:val="00D34D7F"/>
    <w:rsid w:val="00D3670E"/>
    <w:rsid w:val="00D43DE1"/>
    <w:rsid w:val="00D45368"/>
    <w:rsid w:val="00D55067"/>
    <w:rsid w:val="00D61D37"/>
    <w:rsid w:val="00D63280"/>
    <w:rsid w:val="00D6483F"/>
    <w:rsid w:val="00D64A90"/>
    <w:rsid w:val="00D673BB"/>
    <w:rsid w:val="00D71695"/>
    <w:rsid w:val="00D76B7C"/>
    <w:rsid w:val="00D9008A"/>
    <w:rsid w:val="00D911D0"/>
    <w:rsid w:val="00D9184B"/>
    <w:rsid w:val="00D919AF"/>
    <w:rsid w:val="00D94FF1"/>
    <w:rsid w:val="00D96D81"/>
    <w:rsid w:val="00DA283E"/>
    <w:rsid w:val="00DB0B7C"/>
    <w:rsid w:val="00DC01E8"/>
    <w:rsid w:val="00DC6E92"/>
    <w:rsid w:val="00DC791A"/>
    <w:rsid w:val="00DD37A4"/>
    <w:rsid w:val="00DD5216"/>
    <w:rsid w:val="00DD77D3"/>
    <w:rsid w:val="00DE5F73"/>
    <w:rsid w:val="00DF01C7"/>
    <w:rsid w:val="00DF2076"/>
    <w:rsid w:val="00DF2E53"/>
    <w:rsid w:val="00DF52A3"/>
    <w:rsid w:val="00E05007"/>
    <w:rsid w:val="00E15965"/>
    <w:rsid w:val="00E24E4F"/>
    <w:rsid w:val="00E27CC7"/>
    <w:rsid w:val="00E315E6"/>
    <w:rsid w:val="00E33BD8"/>
    <w:rsid w:val="00E36C54"/>
    <w:rsid w:val="00E51423"/>
    <w:rsid w:val="00E74786"/>
    <w:rsid w:val="00E754EF"/>
    <w:rsid w:val="00E75A66"/>
    <w:rsid w:val="00E8289C"/>
    <w:rsid w:val="00E910ED"/>
    <w:rsid w:val="00E9428F"/>
    <w:rsid w:val="00EA2584"/>
    <w:rsid w:val="00EB1167"/>
    <w:rsid w:val="00EB300C"/>
    <w:rsid w:val="00EB641E"/>
    <w:rsid w:val="00EC404C"/>
    <w:rsid w:val="00EC4822"/>
    <w:rsid w:val="00EC6E48"/>
    <w:rsid w:val="00ED2458"/>
    <w:rsid w:val="00ED53FA"/>
    <w:rsid w:val="00ED7347"/>
    <w:rsid w:val="00EE1455"/>
    <w:rsid w:val="00EE3AE2"/>
    <w:rsid w:val="00EE58A9"/>
    <w:rsid w:val="00EE70DB"/>
    <w:rsid w:val="00EF212F"/>
    <w:rsid w:val="00F03F5B"/>
    <w:rsid w:val="00F11419"/>
    <w:rsid w:val="00F23420"/>
    <w:rsid w:val="00F33F23"/>
    <w:rsid w:val="00F45F91"/>
    <w:rsid w:val="00F53C2C"/>
    <w:rsid w:val="00F71CE7"/>
    <w:rsid w:val="00F750D4"/>
    <w:rsid w:val="00F91582"/>
    <w:rsid w:val="00F91B49"/>
    <w:rsid w:val="00F9472B"/>
    <w:rsid w:val="00F96EC3"/>
    <w:rsid w:val="00F97E72"/>
    <w:rsid w:val="00FB2858"/>
    <w:rsid w:val="00FB2DC5"/>
    <w:rsid w:val="00FB302E"/>
    <w:rsid w:val="00FC4064"/>
    <w:rsid w:val="00FD377C"/>
    <w:rsid w:val="00FD5D39"/>
    <w:rsid w:val="00FE04FF"/>
    <w:rsid w:val="00FE08A7"/>
    <w:rsid w:val="00FE1913"/>
    <w:rsid w:val="00FF0BA2"/>
    <w:rsid w:val="00FF3532"/>
    <w:rsid w:val="00F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A70B8D"/>
  <w15:docId w15:val="{72D4C25C-A0E7-4F5B-83E3-7196C376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05A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0B705A"/>
    <w:pPr>
      <w:keepNext/>
      <w:outlineLvl w:val="2"/>
    </w:pPr>
    <w:rPr>
      <w:rFonts w:ascii="Arial" w:hAnsi="Arial"/>
      <w:b/>
      <w:i/>
      <w:szCs w:val="20"/>
    </w:rPr>
  </w:style>
  <w:style w:type="paragraph" w:styleId="8">
    <w:name w:val="heading 8"/>
    <w:basedOn w:val="a"/>
    <w:next w:val="a"/>
    <w:link w:val="80"/>
    <w:qFormat/>
    <w:rsid w:val="000B705A"/>
    <w:pPr>
      <w:spacing w:before="240" w:after="60"/>
      <w:outlineLvl w:val="7"/>
    </w:pPr>
    <w:rPr>
      <w:rFonts w:ascii="Arial" w:hAnsi="Arial"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AD4AB7"/>
    <w:rPr>
      <w:rFonts w:ascii="Arial" w:hAnsi="Arial" w:cs="Times New Roman"/>
      <w:b/>
      <w:i/>
      <w:sz w:val="24"/>
    </w:rPr>
  </w:style>
  <w:style w:type="character" w:customStyle="1" w:styleId="80">
    <w:name w:val="Заголовок 8 Знак"/>
    <w:basedOn w:val="a0"/>
    <w:link w:val="8"/>
    <w:locked/>
    <w:rsid w:val="00AD4AB7"/>
    <w:rPr>
      <w:rFonts w:ascii="Arial" w:hAnsi="Arial" w:cs="Times New Roman"/>
      <w:i/>
    </w:rPr>
  </w:style>
  <w:style w:type="paragraph" w:styleId="a3">
    <w:name w:val="List"/>
    <w:basedOn w:val="a"/>
    <w:uiPriority w:val="99"/>
    <w:rsid w:val="000B705A"/>
    <w:pPr>
      <w:ind w:left="283" w:hanging="283"/>
    </w:pPr>
    <w:rPr>
      <w:sz w:val="20"/>
      <w:szCs w:val="20"/>
    </w:rPr>
  </w:style>
  <w:style w:type="paragraph" w:styleId="2">
    <w:name w:val="Body Text Indent 2"/>
    <w:basedOn w:val="a"/>
    <w:link w:val="20"/>
    <w:uiPriority w:val="99"/>
    <w:rsid w:val="000B705A"/>
    <w:pPr>
      <w:ind w:firstLine="54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A63AB3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0B705A"/>
    <w:pPr>
      <w:tabs>
        <w:tab w:val="left" w:pos="8931"/>
      </w:tabs>
      <w:autoSpaceDE w:val="0"/>
      <w:autoSpaceDN w:val="0"/>
      <w:adjustRightInd w:val="0"/>
      <w:ind w:firstLine="567"/>
      <w:jc w:val="both"/>
    </w:pPr>
    <w:rPr>
      <w:rFonts w:cs="Arial"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D4AB7"/>
    <w:rPr>
      <w:rFonts w:cs="Arial"/>
      <w:sz w:val="24"/>
      <w:szCs w:val="24"/>
    </w:rPr>
  </w:style>
  <w:style w:type="paragraph" w:styleId="a4">
    <w:name w:val="Balloon Text"/>
    <w:basedOn w:val="a"/>
    <w:link w:val="a5"/>
    <w:uiPriority w:val="99"/>
    <w:rsid w:val="00481B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481B6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81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1D10A0"/>
    <w:pPr>
      <w:ind w:left="720"/>
      <w:contextualSpacing/>
    </w:pPr>
  </w:style>
  <w:style w:type="paragraph" w:styleId="a8">
    <w:name w:val="Body Text Indent"/>
    <w:basedOn w:val="a"/>
    <w:link w:val="a9"/>
    <w:uiPriority w:val="99"/>
    <w:rsid w:val="00D911D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D911D0"/>
    <w:rPr>
      <w:rFonts w:cs="Times New Roman"/>
      <w:sz w:val="24"/>
      <w:szCs w:val="24"/>
    </w:rPr>
  </w:style>
  <w:style w:type="character" w:customStyle="1" w:styleId="aa">
    <w:name w:val="Основной текст_"/>
    <w:basedOn w:val="a0"/>
    <w:link w:val="21"/>
    <w:uiPriority w:val="99"/>
    <w:locked/>
    <w:rsid w:val="009110AA"/>
    <w:rPr>
      <w:rFonts w:cs="Times New Roman"/>
      <w:shd w:val="clear" w:color="auto" w:fill="FFFFFF"/>
    </w:rPr>
  </w:style>
  <w:style w:type="paragraph" w:customStyle="1" w:styleId="21">
    <w:name w:val="Основной текст2"/>
    <w:basedOn w:val="a"/>
    <w:link w:val="aa"/>
    <w:uiPriority w:val="99"/>
    <w:rsid w:val="009110AA"/>
    <w:pPr>
      <w:widowControl w:val="0"/>
      <w:shd w:val="clear" w:color="auto" w:fill="FFFFFF"/>
      <w:spacing w:line="240" w:lineRule="atLeast"/>
      <w:jc w:val="center"/>
    </w:pPr>
    <w:rPr>
      <w:sz w:val="20"/>
      <w:szCs w:val="20"/>
    </w:rPr>
  </w:style>
  <w:style w:type="paragraph" w:styleId="ab">
    <w:name w:val="header"/>
    <w:basedOn w:val="a"/>
    <w:link w:val="ac"/>
    <w:uiPriority w:val="99"/>
    <w:rsid w:val="008E72EC"/>
    <w:pPr>
      <w:tabs>
        <w:tab w:val="center" w:pos="4677"/>
        <w:tab w:val="right" w:pos="9355"/>
      </w:tabs>
    </w:pPr>
    <w:rPr>
      <w:rFonts w:ascii="Arial" w:hAnsi="Arial"/>
      <w:szCs w:val="20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8E72EC"/>
    <w:rPr>
      <w:rFonts w:ascii="Arial" w:hAnsi="Arial" w:cs="Times New Roman"/>
      <w:sz w:val="24"/>
    </w:rPr>
  </w:style>
  <w:style w:type="character" w:customStyle="1" w:styleId="33">
    <w:name w:val="Основной текст (3)_"/>
    <w:basedOn w:val="a0"/>
    <w:link w:val="34"/>
    <w:uiPriority w:val="99"/>
    <w:locked/>
    <w:rsid w:val="00777AE3"/>
    <w:rPr>
      <w:rFonts w:cs="Times New Roman"/>
      <w:sz w:val="18"/>
      <w:szCs w:val="18"/>
      <w:shd w:val="clear" w:color="auto" w:fill="FFFFFF"/>
    </w:rPr>
  </w:style>
  <w:style w:type="paragraph" w:customStyle="1" w:styleId="34">
    <w:name w:val="Основной текст (3)"/>
    <w:basedOn w:val="a"/>
    <w:link w:val="33"/>
    <w:uiPriority w:val="99"/>
    <w:rsid w:val="00777AE3"/>
    <w:pPr>
      <w:widowControl w:val="0"/>
      <w:shd w:val="clear" w:color="auto" w:fill="FFFFFF"/>
      <w:spacing w:line="216" w:lineRule="exact"/>
      <w:jc w:val="both"/>
    </w:pPr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7D2DF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D2DF3"/>
    <w:rPr>
      <w:sz w:val="24"/>
      <w:szCs w:val="24"/>
    </w:rPr>
  </w:style>
  <w:style w:type="paragraph" w:customStyle="1" w:styleId="ConsPlusNormal">
    <w:name w:val="ConsPlusNormal"/>
    <w:rsid w:val="002357B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FB285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hyperlink" Target="consultantplus://offline/ref=F8C62FFD16F07239C8C16CD55B9111F500F8219E80C1F7185C1878241554E5221EFB19C8383786F3DCE419DAdED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8C62FFD16F07239C8C172D84DFD4EF906F2789585C2F44907472379425DEF7559B4408DD7d8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53C176-3917-4A0E-B863-2EF4517D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21</Pages>
  <Words>4656</Words>
  <Characters>26541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GS-KALTAN</dc:creator>
  <cp:lastModifiedBy>User</cp:lastModifiedBy>
  <cp:revision>13</cp:revision>
  <cp:lastPrinted>2022-12-01T01:59:00Z</cp:lastPrinted>
  <dcterms:created xsi:type="dcterms:W3CDTF">2022-11-17T08:50:00Z</dcterms:created>
  <dcterms:modified xsi:type="dcterms:W3CDTF">2022-12-01T02:02:00Z</dcterms:modified>
</cp:coreProperties>
</file>