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2" w:rsidRPr="0074683D" w:rsidRDefault="00B67C92" w:rsidP="00B67C92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bookmarkStart w:id="0" w:name="_GoBack"/>
      <w:bookmarkEnd w:id="0"/>
      <w:r w:rsidRPr="0074683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Выборы депутатов Совета народных депутатов</w:t>
      </w:r>
    </w:p>
    <w:p w:rsidR="00B67C92" w:rsidRPr="0074683D" w:rsidRDefault="00B67C92" w:rsidP="00B67C92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74683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Калтанского городского округа шестого созыва</w:t>
      </w:r>
    </w:p>
    <w:p w:rsidR="00B67C92" w:rsidRPr="0074683D" w:rsidRDefault="00B67C92" w:rsidP="00B67C92">
      <w:pPr>
        <w:pStyle w:val="8"/>
        <w:pBdr>
          <w:bottom w:val="double" w:sz="12" w:space="0" w:color="auto"/>
        </w:pBdr>
        <w:jc w:val="center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74683D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Кемеровская область – Кузбасс</w:t>
      </w:r>
    </w:p>
    <w:p w:rsidR="00B67C92" w:rsidRPr="0074683D" w:rsidRDefault="00B67C92" w:rsidP="00B67C92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74683D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Калтанский городского округ</w:t>
      </w:r>
    </w:p>
    <w:p w:rsidR="00320FF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320FF8" w:rsidRPr="0068230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320FF8" w:rsidRPr="0068230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320FF8" w:rsidRPr="00751C9C" w:rsidRDefault="00320FF8" w:rsidP="00320FF8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320FF8" w:rsidRPr="00D5759E" w:rsidRDefault="00320FF8" w:rsidP="00320FF8">
      <w:pPr>
        <w:rPr>
          <w:rFonts w:ascii="Times New Roman" w:hAnsi="Times New Roman" w:cs="Times New Roman"/>
          <w:sz w:val="28"/>
          <w:szCs w:val="26"/>
        </w:rPr>
      </w:pPr>
      <w:r w:rsidRPr="00A655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7C92">
        <w:rPr>
          <w:rFonts w:ascii="Times New Roman" w:hAnsi="Times New Roman" w:cs="Times New Roman"/>
          <w:b/>
          <w:sz w:val="28"/>
          <w:szCs w:val="28"/>
        </w:rPr>
        <w:t>10</w:t>
      </w:r>
      <w:r w:rsidRPr="00A655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521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A65536">
        <w:rPr>
          <w:rFonts w:ascii="Times New Roman" w:hAnsi="Times New Roman" w:cs="Times New Roman"/>
          <w:b/>
          <w:szCs w:val="26"/>
        </w:rPr>
        <w:t xml:space="preserve"> </w:t>
      </w:r>
      <w:r w:rsidRPr="00D5759E">
        <w:rPr>
          <w:rFonts w:ascii="Times New Roman" w:hAnsi="Times New Roman" w:cs="Times New Roman"/>
          <w:b/>
          <w:sz w:val="28"/>
          <w:szCs w:val="26"/>
        </w:rPr>
        <w:t>20</w:t>
      </w:r>
      <w:r w:rsidR="00B67C92">
        <w:rPr>
          <w:rFonts w:ascii="Times New Roman" w:hAnsi="Times New Roman" w:cs="Times New Roman"/>
          <w:b/>
          <w:sz w:val="28"/>
          <w:szCs w:val="26"/>
        </w:rPr>
        <w:t>2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1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 № </w:t>
      </w:r>
      <w:r w:rsidR="00B67C92">
        <w:rPr>
          <w:rFonts w:ascii="Times New Roman" w:hAnsi="Times New Roman" w:cs="Times New Roman"/>
          <w:b/>
          <w:sz w:val="28"/>
          <w:szCs w:val="26"/>
        </w:rPr>
        <w:t>68</w:t>
      </w:r>
    </w:p>
    <w:p w:rsidR="00320FF8" w:rsidRDefault="00320FF8" w:rsidP="0064370B">
      <w:pPr>
        <w:spacing w:after="25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</w:p>
    <w:p w:rsidR="00320FF8" w:rsidRDefault="00320FF8" w:rsidP="00320FF8">
      <w:pPr>
        <w:spacing w:after="255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жеребьевок по распределению </w:t>
      </w:r>
      <w:r w:rsidR="00643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между зарегистрированными кандидатами </w:t>
      </w:r>
      <w:r w:rsidRPr="00320FF8">
        <w:rPr>
          <w:rFonts w:ascii="Times New Roman" w:eastAsia="Times New Roman" w:hAnsi="Times New Roman" w:cs="Times New Roman"/>
          <w:b/>
          <w:bCs/>
          <w:sz w:val="28"/>
          <w:szCs w:val="28"/>
        </w:rPr>
        <w:t>эфирного времени на каналах организ</w:t>
      </w:r>
      <w:r w:rsidR="0064370B">
        <w:rPr>
          <w:rFonts w:ascii="Times New Roman" w:eastAsia="Times New Roman" w:hAnsi="Times New Roman" w:cs="Times New Roman"/>
          <w:b/>
          <w:bCs/>
          <w:sz w:val="28"/>
          <w:szCs w:val="28"/>
        </w:rPr>
        <w:t>ации, осуществляющей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теле</w:t>
      </w:r>
      <w:r w:rsidRPr="00320FF8">
        <w:rPr>
          <w:rFonts w:ascii="Times New Roman" w:eastAsia="Times New Roman" w:hAnsi="Times New Roman" w:cs="Times New Roman"/>
          <w:b/>
          <w:bCs/>
          <w:sz w:val="28"/>
          <w:szCs w:val="28"/>
        </w:rPr>
        <w:t>вещание,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  <w:r w:rsidR="00643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Калтанского городского округа </w:t>
      </w:r>
      <w:r w:rsidR="00B67C92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320FF8" w:rsidRPr="00320FF8" w:rsidRDefault="00320FF8" w:rsidP="00320FF8">
      <w:pPr>
        <w:spacing w:after="255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F8" w:rsidRDefault="00320FF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0"/>
      <w:bookmarkEnd w:id="1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10 статьи 24 Федерального закона </w:t>
      </w:r>
      <w:r w:rsidR="004A6A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основных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гарантиях избирательных прав и права на участие в</w:t>
      </w:r>
      <w:r w:rsidR="004A6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референдуме граждан Российской Федерации», пунктом 14 статьи 9 Закона Кемеровской области «Об избирательных комиссиях, комиссиях референдума в Кемеровской области</w:t>
      </w:r>
      <w:r w:rsidR="004A6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статьей 47 Закона Кемеровской области «О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 w:rsidR="004A6A8B">
        <w:rPr>
          <w:rFonts w:ascii="Times New Roman" w:eastAsia="Times New Roman" w:hAnsi="Times New Roman" w:cs="Times New Roman"/>
          <w:color w:val="000000"/>
          <w:sz w:val="28"/>
          <w:szCs w:val="28"/>
        </w:rPr>
        <w:t>рах в органы местного самоуправления в Кемеровской области» избирательная комиссия Калтанского городского округа</w:t>
      </w:r>
    </w:p>
    <w:p w:rsidR="004A6A8B" w:rsidRDefault="004A6A8B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B" w:rsidRPr="004A6A8B" w:rsidRDefault="004A6A8B" w:rsidP="0064370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28"/>
          <w:szCs w:val="26"/>
        </w:rPr>
        <w:t>РЕШИЛА:</w:t>
      </w:r>
    </w:p>
    <w:p w:rsidR="0064370B" w:rsidRDefault="00320FF8" w:rsidP="0064370B">
      <w:pPr>
        <w:spacing w:after="255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A6A8B" w:rsidRPr="004A6A8B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жеребьевок по распределению между зарегистрированными кандидатами эфирного </w:t>
      </w:r>
      <w:r w:rsidR="004A6A8B">
        <w:rPr>
          <w:rFonts w:ascii="Times New Roman" w:hAnsi="Times New Roman" w:cs="Times New Roman"/>
          <w:sz w:val="28"/>
          <w:szCs w:val="28"/>
        </w:rPr>
        <w:t>времени на каналах муниципальной организации, осуществляющей теле</w:t>
      </w:r>
      <w:r w:rsidR="004A6A8B" w:rsidRPr="004A6A8B">
        <w:rPr>
          <w:rFonts w:ascii="Times New Roman" w:hAnsi="Times New Roman" w:cs="Times New Roman"/>
          <w:sz w:val="28"/>
          <w:szCs w:val="28"/>
        </w:rPr>
        <w:t>вещание</w:t>
      </w:r>
      <w:r w:rsidR="004A6A8B">
        <w:t>,</w:t>
      </w:r>
      <w:r w:rsidR="004A6A8B" w:rsidRPr="004A6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6A8B" w:rsidRPr="004A6A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437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проведении выборов депутатов </w:t>
      </w:r>
      <w:r w:rsidR="004A6A8B" w:rsidRPr="004A6A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народных депутатов </w:t>
      </w:r>
      <w:r w:rsidR="0064370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Калтанского городского округа </w:t>
      </w:r>
      <w:r w:rsidR="00B67C92">
        <w:rPr>
          <w:rFonts w:ascii="Times New Roman" w:eastAsia="Times New Roman" w:hAnsi="Times New Roman" w:cs="Times New Roman"/>
          <w:bCs/>
          <w:sz w:val="28"/>
          <w:szCs w:val="28"/>
        </w:rPr>
        <w:t>шестого</w:t>
      </w:r>
      <w:r w:rsidR="004A6A8B" w:rsidRPr="004A6A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r w:rsidR="006437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7C92" w:rsidRPr="00B67C92" w:rsidRDefault="00320FF8" w:rsidP="00B67C92">
      <w:pPr>
        <w:spacing w:after="255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67C92" w:rsidRPr="00B67C92">
        <w:rPr>
          <w:rFonts w:ascii="Times New Roman" w:hAnsi="Times New Roman" w:cs="Times New Roman"/>
          <w:sz w:val="28"/>
          <w:szCs w:val="28"/>
        </w:rPr>
        <w:t xml:space="preserve"> Разместить на официальном  сайте администрации Калтанского городского округа в разделе «Избирательная комиссия» в информационно-телекоммуникационной сети «Интернет».</w:t>
      </w:r>
    </w:p>
    <w:p w:rsidR="00B67C92" w:rsidRPr="00B67C92" w:rsidRDefault="00B67C92" w:rsidP="00B67C92">
      <w:pPr>
        <w:spacing w:after="255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C92">
        <w:rPr>
          <w:rFonts w:ascii="Times New Roman" w:hAnsi="Times New Roman" w:cs="Times New Roman"/>
          <w:sz w:val="28"/>
          <w:szCs w:val="28"/>
        </w:rPr>
        <w:t>3. Опубликовать настоящее решение в еженедельной городской газете «Калтанский вестник».</w:t>
      </w:r>
    </w:p>
    <w:p w:rsidR="00320FF8" w:rsidRPr="00320FF8" w:rsidRDefault="00320FF8" w:rsidP="00B67C92">
      <w:pPr>
        <w:spacing w:after="255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70B" w:rsidRPr="00D575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Председатель избирательной комиссии </w:t>
      </w:r>
    </w:p>
    <w:p w:rsidR="0064370B" w:rsidRPr="00D575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Pr="00D5759E">
        <w:rPr>
          <w:rFonts w:ascii="Times New Roman" w:hAnsi="Times New Roman" w:cs="Times New Roman"/>
          <w:sz w:val="28"/>
          <w:szCs w:val="26"/>
        </w:rPr>
        <w:t xml:space="preserve">         </w:t>
      </w:r>
      <w:r w:rsidR="00B67C92">
        <w:rPr>
          <w:rFonts w:ascii="Times New Roman" w:hAnsi="Times New Roman" w:cs="Times New Roman"/>
          <w:sz w:val="28"/>
          <w:szCs w:val="26"/>
        </w:rPr>
        <w:t>Н.В. Степанчук</w:t>
      </w:r>
    </w:p>
    <w:p w:rsidR="0064370B" w:rsidRPr="00D575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4370B" w:rsidRPr="00D575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Секретарь избирательной комиссии                                                        </w:t>
      </w:r>
    </w:p>
    <w:p w:rsidR="0064370B" w:rsidRPr="00D5759E" w:rsidRDefault="0064370B" w:rsidP="006437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B67C92">
        <w:rPr>
          <w:rFonts w:ascii="Times New Roman" w:hAnsi="Times New Roman" w:cs="Times New Roman"/>
          <w:sz w:val="28"/>
          <w:szCs w:val="26"/>
        </w:rPr>
        <w:t>Н.А. Ярушкина</w:t>
      </w:r>
    </w:p>
    <w:p w:rsidR="0064370B" w:rsidRPr="00F926D0" w:rsidRDefault="0064370B" w:rsidP="0064370B">
      <w:pPr>
        <w:spacing w:after="255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926D0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УТВЕРЖДЕН</w:t>
      </w:r>
    </w:p>
    <w:p w:rsidR="0064370B" w:rsidRPr="00F926D0" w:rsidRDefault="00F926D0" w:rsidP="0064370B">
      <w:pPr>
        <w:spacing w:after="255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926D0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="0064370B" w:rsidRPr="00F926D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ешением избирательной комиссии </w:t>
      </w:r>
    </w:p>
    <w:p w:rsidR="00F926D0" w:rsidRDefault="0064370B" w:rsidP="00F926D0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926D0">
        <w:rPr>
          <w:rFonts w:ascii="Times New Roman" w:eastAsia="Times New Roman" w:hAnsi="Times New Roman" w:cs="Times New Roman"/>
          <w:color w:val="000000"/>
          <w:sz w:val="24"/>
          <w:szCs w:val="28"/>
        </w:rPr>
        <w:t>Калтанского городского округа</w:t>
      </w:r>
    </w:p>
    <w:p w:rsidR="0064370B" w:rsidRPr="00F926D0" w:rsidRDefault="00B67C92" w:rsidP="00F926D0">
      <w:pPr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111E2E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21 года № 68</w:t>
      </w:r>
    </w:p>
    <w:p w:rsidR="0064370B" w:rsidRDefault="0064370B" w:rsidP="0064370B">
      <w:pPr>
        <w:spacing w:after="255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70B" w:rsidRDefault="0064370B" w:rsidP="0064370B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70B">
        <w:rPr>
          <w:rFonts w:ascii="Times New Roman" w:hAnsi="Times New Roman" w:cs="Times New Roman"/>
          <w:b/>
          <w:sz w:val="28"/>
          <w:szCs w:val="28"/>
        </w:rPr>
        <w:t>Порядок проведения жеребьевок по распределению между зарегистрированными кандидатами эфирного времени на каналах муниципальной организации, осуществляющей телевещание</w:t>
      </w:r>
      <w:r w:rsidRPr="0064370B">
        <w:rPr>
          <w:b/>
        </w:rPr>
        <w:t>,</w:t>
      </w:r>
      <w:r w:rsidRPr="00643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проведении выборов депутатов Совета народных депутатов Калтанского городского округа </w:t>
      </w:r>
      <w:r w:rsidR="00B67C92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r w:rsidRPr="00643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64370B" w:rsidRPr="0064370B" w:rsidRDefault="0064370B" w:rsidP="0064370B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FF8" w:rsidRDefault="00320FF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Порядком регулируется проведение жеребьевок по распределению между</w:t>
      </w:r>
      <w:r w:rsidR="00506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зарегистрированными кандидатами, а также между избирательным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объединениями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</w:t>
      </w:r>
      <w:r w:rsidR="00643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стрировавшими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кандидатов, бесплатного и платн</w:t>
      </w:r>
      <w:r w:rsidR="0064370B">
        <w:rPr>
          <w:rFonts w:ascii="Times New Roman" w:eastAsia="Times New Roman" w:hAnsi="Times New Roman" w:cs="Times New Roman"/>
          <w:color w:val="000000"/>
          <w:sz w:val="28"/>
          <w:szCs w:val="28"/>
        </w:rPr>
        <w:t>ого эфирного времени на каналах муниципальных организаций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осуществляющих теле- и (или) радиовещание (далее - организации телерадиовещания), </w:t>
      </w:r>
      <w:r w:rsidR="00E976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47 Закона Кемеровской области</w:t>
      </w:r>
      <w:r w:rsidR="009B2DD8" w:rsidRPr="009B2D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B2DD8" w:rsidRPr="009B2DD8">
        <w:rPr>
          <w:rFonts w:ascii="Times New Roman" w:eastAsia="Times New Roman" w:hAnsi="Times New Roman" w:cs="Times New Roman"/>
          <w:color w:val="000000"/>
          <w:sz w:val="28"/>
          <w:szCs w:val="28"/>
        </w:rPr>
        <w:t>от 30.05.2011г. № 54-ОЗ</w:t>
      </w:r>
      <w:r w:rsidR="00E97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выборах в органы местного самоуправления в Кемеровской области» (далее – Закон Кемеровской области).</w:t>
      </w:r>
    </w:p>
    <w:p w:rsidR="00E97618" w:rsidRPr="00320FF8" w:rsidRDefault="00E9761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618" w:rsidRPr="00E97618" w:rsidRDefault="00320FF8" w:rsidP="00E97618">
      <w:pPr>
        <w:pStyle w:val="a5"/>
        <w:numPr>
          <w:ilvl w:val="0"/>
          <w:numId w:val="2"/>
        </w:numPr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</w:t>
      </w:r>
      <w:r w:rsidR="00E97618"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бесплатного </w:t>
      </w:r>
      <w:r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>эфи</w:t>
      </w:r>
      <w:r w:rsidR="00E97618"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рного времени, предоставляемого </w:t>
      </w:r>
      <w:r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каналах </w:t>
      </w:r>
      <w:r w:rsidR="00E97618"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E9761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телерадиовещания</w:t>
      </w:r>
    </w:p>
    <w:p w:rsidR="009B2DD8" w:rsidRPr="009B2DD8" w:rsidRDefault="00E97618" w:rsidP="009B2DD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На основании пункта 5 статьи 47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Кемеровской области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жеребьевка по распределению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бесплатного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эфирного времени, предоставляемого безвозмездно для проведения совместных агитационных мероприятий и для размещения предвыборных агитационны</w:t>
      </w:r>
      <w:r w:rsidR="00506904"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материалов зарегистрированных кандидатов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06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избирательных объединений,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по завершении регистрации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списков кандидатов, но не позднее чем 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30 дней до дня голосования, </w:t>
      </w:r>
      <w:r w:rsidR="009B2DD8" w:rsidRPr="009B2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есть </w:t>
      </w:r>
      <w:r w:rsidR="009B2DD8" w:rsidRPr="009B2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позднее 19 августа 2021 года.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Избирательные объединения, кандидаты обязаны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совместных агитационных мероприятиях. Эфирное время распределяется между всеми политическими партиями, зарегистрировавшими списки кандидатов.</w:t>
      </w:r>
    </w:p>
    <w:p w:rsidR="00320FF8" w:rsidRPr="00320FF8" w:rsidRDefault="00320FF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13A6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Избирательные объединения, кандидаты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отказаться от получения части эфирного времени, предоставляемой для размещения предвыборных агитационных материалов, в том числе на некоторых канала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х, письменно сообщив об этом в И</w:t>
      </w:r>
      <w:r w:rsidR="00813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збирательную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3A6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813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августа 2021</w:t>
      </w:r>
      <w:r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отказ влечет соответствующее уменьшение объема эфирного времени, предоставляемого на каналах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телерадиовещания политической партии.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FC305A">
        <w:rPr>
          <w:rFonts w:ascii="Times New Roman" w:eastAsia="Times New Roman" w:hAnsi="Times New Roman" w:cs="Times New Roman"/>
          <w:color w:val="000000"/>
          <w:sz w:val="28"/>
          <w:szCs w:val="28"/>
        </w:rPr>
        <w:t>. ИК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FC3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 1</w:t>
      </w:r>
      <w:r w:rsidR="00FC305A" w:rsidRPr="00FC3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C3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20</w:t>
      </w:r>
      <w:r w:rsidR="00FC305A" w:rsidRPr="00FC3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телерадиовещания о количестве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избирательных объединений,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кандидатов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между которыми должно быть распределено предоставляемое безвозмездно эфирное время, имеющихся фактах отказа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объединений, кандидатов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получения части эфирного времени, которое предоставляется для размещения предвыборных агитационных материалов, и информирует политические партии о дате, времени и месте проведения жеребьевки.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жеребьевке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представители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избирательного объединения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полномочия которых подтверждены соответствующим документом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случае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 представителя избирательного объединения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жеребьевке в интересах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избирательного объединения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член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комисии</w:t>
      </w:r>
      <w:proofErr w:type="spellEnd"/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правом решающего голоса - руководитель Рабочей группы по информационным спорам и иным вопросам информационного обеспечения выборов либо по его поручению иной член указанной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группы из числа членов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 w:rsidR="00320FF8" w:rsidRPr="000A64FA">
        <w:rPr>
          <w:rFonts w:ascii="Times New Roman" w:eastAsia="Times New Roman" w:hAnsi="Times New Roman" w:cs="Times New Roman"/>
          <w:sz w:val="28"/>
          <w:szCs w:val="28"/>
        </w:rPr>
        <w:t>(с учетом </w:t>
      </w:r>
      <w:hyperlink r:id="rId6" w:anchor="1015" w:history="1">
        <w:r w:rsidR="00320FF8" w:rsidRPr="000A64FA">
          <w:rPr>
            <w:rFonts w:ascii="Times New Roman" w:eastAsia="Times New Roman" w:hAnsi="Times New Roman" w:cs="Times New Roman"/>
            <w:sz w:val="28"/>
            <w:szCs w:val="28"/>
          </w:rPr>
          <w:t>пункта 1.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20FF8" w:rsidRPr="000A64FA">
        <w:rPr>
          <w:rFonts w:ascii="Times New Roman" w:eastAsia="Times New Roman" w:hAnsi="Times New Roman" w:cs="Times New Roman"/>
          <w:sz w:val="28"/>
          <w:szCs w:val="28"/>
        </w:rPr>
        <w:t> настоящего Порядка).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соответствии с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6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Кемеровской области</w:t>
      </w:r>
      <w:r w:rsidR="000A64FA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жеребьевки имеют право присутствовать следующие лица:</w:t>
      </w:r>
    </w:p>
    <w:p w:rsidR="00320FF8" w:rsidRPr="00320FF8" w:rsidRDefault="000A64FA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КГО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правом решающего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0FF8" w:rsidRPr="00320FF8" w:rsidRDefault="00320FF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 представители или доверенные лица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избирательных объединений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зарегистрировавших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либо кандидаты из указанных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списков кандидатов;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Подготовка помещения для провед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жеребьевки возлагается на Избирательную комиссию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подготовка необходимой документации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соответствующую муниципальную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телерадиовещания.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Организации телерадиовещания участвуют в жеребьевке в очередности, определенной жребием. Организация телерадиовещания, осуществляющая на нескольких каналах телевещание и (или) радиовещание, самостоятельно определяет очередность жеребьевки по распределению эфирного времени на соответствующих каналах. До начала проведения жеребьевки организация телерадиовещания представляет на всеобщее обозрение конверты для жеребьевки с отметкой наименования организации телерадиовещания, в которые должны быть вложены листы с информацией о дате и времени выхода в эфир. Представитель организации телерадиовещания информирует присутствующих об объеме эфирного времени, выделенного каждой политической партии для совместных агитационных мероприятий, и объеме эфир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времени, выделенного каждому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избирательному объединению, кандидату</w:t>
      </w:r>
      <w:r w:rsidR="00EE69A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 предвыборных агитационных материалов. Жеребьевка между политическими партиями проводится в очередности, соответствующей хроно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логическому порядку регистрации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списков кандидатов.</w:t>
      </w:r>
    </w:p>
    <w:p w:rsidR="00320FF8" w:rsidRPr="00854521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эфирного времени, которое </w:t>
      </w:r>
      <w:r w:rsidR="000A64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МАУ «Пресс-Центр г. Калтан»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безвозмездно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избирательными объединениями, кандидатами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предвыборной агитации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одного часа в рабочие дни в пределах периода, 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начинается за 28 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дней до дня голос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ования, то есть с 21 августа 2021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и прекращается в ноль часов по местному времени дня, предшествующего дню голосования, то есть в ноль часов 17 сентября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года.</w:t>
      </w:r>
    </w:p>
    <w:p w:rsidR="00320FF8" w:rsidRPr="00320FF8" w:rsidRDefault="00320FF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предоставляемого безвозмездно эфирного времени соответственно уменьшается в случае, если </w:t>
      </w:r>
      <w:r w:rsidR="00EE69A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избирательное объединение, кандидат</w:t>
      </w:r>
      <w:r w:rsidR="00EE69A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813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 14 августа 2021</w:t>
      </w:r>
      <w:r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откажется от использования части эфирного времени, предоставляемой для размещения агитационных материалов.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Эфирное время, предоставляемое безвозмездно в соответствии с частью 1 статьи 65 Федерального закона, должно приходиться на определяемый 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телерадиовещания период, когда теле- и радиопередачи собирают наибольшую аудиторию.</w:t>
      </w:r>
    </w:p>
    <w:p w:rsidR="00320FF8" w:rsidRPr="00320FF8" w:rsidRDefault="00813A6F" w:rsidP="00E071A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Время, отведенное для совместных агитационных мероприятий, распределяется путем жеребьевки таким образом, чтобы каждый из участников совместного агитационного мероприятия получил равный с другими участниками объем времени. Участник жеребьевки выбирает конверт, в котором содержится информация о дате и времени проведения совместного агитационного мероприятия, в котором он вправе участвовать. При предоставлении указанной части эфирного времени организация телерадиове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щания обязана обеспечить каждому избирательному объединению, кандидату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принявших участие в жеребьевке равные условия доступа к совместным агитационным мероприятиям.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1.13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Распределение между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избирательными объединениями, кандидатами</w:t>
      </w:r>
      <w:r w:rsidR="000A182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эфирного времени, предоставляемого для размещения предвыборных агитационных материалов (при его наличии), также осуществляется путем жеребьевки. Представители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объединений, кандидатов</w:t>
      </w:r>
      <w:r w:rsidR="000A182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конверты, в которых содержится информация о дате и времени предоставления соответствующей орган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 телерадиовещания каждому избирательному объединению, кандидату</w:t>
      </w:r>
      <w:r w:rsidR="000A182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эфирного времени для размещения предвыборных агитационных материалов.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1.14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Содержащиеся в конвертах сведения оглашаются и вносятся в протокол о распределении эфирного времени </w:t>
      </w:r>
      <w:r w:rsidR="00320FF8" w:rsidRPr="00E071A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anchor="1100" w:history="1">
        <w:r w:rsidR="00320FF8" w:rsidRPr="00E071A7">
          <w:rPr>
            <w:rFonts w:ascii="Times New Roman" w:eastAsia="Times New Roman" w:hAnsi="Times New Roman" w:cs="Times New Roman"/>
            <w:sz w:val="28"/>
            <w:szCs w:val="28"/>
          </w:rPr>
          <w:t>приложение № 1</w:t>
        </w:r>
      </w:hyperlink>
      <w:r w:rsidR="00320FF8" w:rsidRPr="00E071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представителем организации телерадиовещания. В соответствующие графы протокола вносятся фамилия и инициалы лица, участвующего в жеребьевке в интересах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избирательного объединения, кандидата,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ставится его подпись. Протокол о распределении эфирного времени подписывают уполномоченный представитель соответствующей организации те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>лерадиовещания и представитель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збирательной комиссии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алтанского городского округа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F8" w:rsidRP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1.15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день проведения жеребьевки по распределению предоставляемого безвозмездно эфирного времени,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есть 16 августа 2021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года,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подписания протокола о распределении эфирного времени участники совместных агитационных мероприятий могут по взаимному согласию (в том числе по предложению представителей организации телерадиовещания) обменяться датами и временем участия в них. О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проведенных между участниками совместных агитационных мероприятий согласованиях составляется протокол, подписываемый уполномоченными на то представителями политических партий, обменявшихся датами и временем участия в совместных агитационных мероприятиях, представителями соответствующей организации тел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радиовещания и представителем Избирательной комиссией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КГО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присутствующим при обмене </w:t>
      </w:r>
      <w:r w:rsidR="00320FF8" w:rsidRPr="00E071A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1200" w:history="1">
        <w:r w:rsidR="00320FF8" w:rsidRPr="00E071A7">
          <w:rPr>
            <w:rFonts w:ascii="Times New Roman" w:eastAsia="Times New Roman" w:hAnsi="Times New Roman" w:cs="Times New Roman"/>
            <w:sz w:val="28"/>
            <w:szCs w:val="28"/>
          </w:rPr>
          <w:t>приложение № 2</w:t>
        </w:r>
      </w:hyperlink>
      <w:r w:rsidR="00320FF8" w:rsidRPr="00E071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дальнейшем обмен датами и временем участия в совместных агитационных мероприятиях в рамках предоставляемого безвозмездно эфирного времени не исключается при условии наличия письменного согласия на такой обмен всех участников соответствующих совместных агитационных мероприятий, своевременного опубликования в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 изданиях сведений о датах и времени выхода в эфир совместных агитационных мероприятий с указанием новых составов участников и уведомления избирательн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комиссии Калтанского городского округа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F8" w:rsidRDefault="00813A6F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1.16</w:t>
      </w:r>
      <w:r w:rsid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. Избирательная комиссия Калтанского городского округа</w:t>
      </w:r>
      <w:r w:rsidR="00E0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9F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августа 2021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публикует в 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«Калтанский вестник»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размещает на </w:t>
      </w:r>
      <w:proofErr w:type="gramStart"/>
      <w:r w:rsidR="00DC7204" w:rsidRPr="00CD1148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="00DC7204" w:rsidRPr="00CD1148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 в разделе «Избирательная комиссия»</w:t>
      </w:r>
      <w:r w:rsidR="00DC7204">
        <w:rPr>
          <w:rFonts w:ascii="Times New Roman" w:hAnsi="Times New Roman" w:cs="Times New Roman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распределения эфирного времени, определенный в результате жеребьевки, с учетом итогов обмена по взаимному согласию между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избирательными объединениями, кандидатами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датами и временем участия в совместных агитационных мероприятиях.</w:t>
      </w:r>
    </w:p>
    <w:p w:rsidR="000A1827" w:rsidRPr="00320FF8" w:rsidRDefault="000A182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F8" w:rsidRPr="000A1827" w:rsidRDefault="00320FF8" w:rsidP="000A1827">
      <w:pPr>
        <w:pStyle w:val="a5"/>
        <w:numPr>
          <w:ilvl w:val="0"/>
          <w:numId w:val="2"/>
        </w:numPr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82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платного эфирного вр</w:t>
      </w:r>
      <w:r w:rsidR="00DC7204" w:rsidRPr="000A1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емени на каналах </w:t>
      </w:r>
      <w:r w:rsidR="000A1827" w:rsidRPr="000A1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C7204" w:rsidRPr="000A1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0A182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телерадиовещания</w:t>
      </w:r>
    </w:p>
    <w:p w:rsidR="000A1827" w:rsidRPr="000A1827" w:rsidRDefault="000A1827" w:rsidP="000A1827">
      <w:pPr>
        <w:pStyle w:val="a5"/>
        <w:spacing w:after="255" w:line="240" w:lineRule="auto"/>
        <w:ind w:left="106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.1. Жеребьевка по распределению платного эфирного времени проводится в том же порядке и на тех же условиях, что и жеребьевка по распределению эфирного времени, предоставляемого безвозмездно, но со следующими особенностями.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.2. Согла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сно пункту 8 статьи 47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Кемеровской области муниципальные организации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телерадиовещания обязаны резервировать платное эфирное время для проведения предвыборной агитации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избирательными объединениями, кандидатами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Общий объем платного эфирного времени, резервируемого каждой организацией телерадиовещания, не может быть меньше общего объема эфирного времени, предоставляемого безвозмездно, но не должен превышать его более чем в два раза.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DC7204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сно пункту 8 статьи 47</w:t>
      </w:r>
      <w:r w:rsidR="00DC7204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Кемеровской области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избирательное объединение, кандидат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за соответствующую плату получить эфирное время из общего объема зарезервированного эфирного времени в пределах доли, полученной путем деления этого объема на общее число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объединений, кандидатов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Вместе с тем в жеребьевке участвуют только те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избирательные объединения, кандидаты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уполномоченные представители которых подали в организацию телерадиовещания письменные заявки на такое участие не позднее </w:t>
      </w:r>
      <w:r w:rsidR="009F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августа 2021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, - между ними может быть распределен общий объем платного эфирного времени, выделенный организацией телерадиовещания.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.4. Как следует из пункта 11 статьи 47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Кемеровской области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платное эфирное время для проведения предвыборной агитации предоставляется, в том числе в выходные дни, в тече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периода, указанного в пункте 2 статьи 42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Кемеровской области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с целью соблюдения принципа равенства </w:t>
      </w:r>
      <w:r w:rsidR="000A182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объединений, кандидатов</w:t>
      </w:r>
      <w:r w:rsidR="000A1827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проводится жеребьевка по распределению платного эфирного времени, приходящегося на выходные дни.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.5. 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самостоятельно, без обязательного у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 членов и представителей Избирательной комиссией Калтанского городского округа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.6. Протоколы жеребьевки по распределению платного эфирного времени (отдельно по рабочим и по выходным дням) подписывают два или более представителя организации телерадиовещания, а в случае присутствия при прове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жеребьевки представителя Избирательной комиссии - также представитель Избирательной комиссии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FF8" w:rsidRPr="00320FF8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7204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 Определенный в результате жеребьевки график распределения эфирного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 размещается соответствующей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телерадиовещания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передается не позднее 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F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августа 2021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FF8" w:rsidRPr="00854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комиссию Калтанского городского округа</w:t>
      </w:r>
      <w:r w:rsidR="00320FF8" w:rsidRPr="00320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32E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32E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32E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32E" w:rsidRDefault="00CC232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0BC7" w:rsidSect="00921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проведения жеребьевок по распределению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зарегистрированными кандидатами эфирного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на каналах муниципальной организации,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осуществляющей телевещание,</w:t>
      </w: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проведении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выборов депутатов Совета народных депутатов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Калтанского городского округа шестого созыва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0BC7" w:rsidRPr="009F0BC7" w:rsidRDefault="009F0BC7" w:rsidP="009F0BC7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жеребьевки по определению дат и времени выхода в эфир на бесплатной основе предвыборных агитационных материалов зарегистрированных кандидатов, избирательных объединений, зарегистрировавших списки кандидатов в депутаты Совета народных депутатов Калтанского городского округа шестого созыва на каналах муниципальных организаций телевещания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325"/>
        <w:gridCol w:w="2268"/>
        <w:gridCol w:w="4196"/>
        <w:gridCol w:w="3969"/>
      </w:tblGrid>
      <w:tr w:rsidR="009F0BC7" w:rsidRPr="009F0BC7" w:rsidTr="0053408E">
        <w:tc>
          <w:tcPr>
            <w:tcW w:w="567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871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зарегистриро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ванного кандидата (фамилии указываются в алфавитном порядке)</w:t>
            </w:r>
          </w:p>
        </w:tc>
        <w:tc>
          <w:tcPr>
            <w:tcW w:w="2325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и время выхода в эфир совместных агитационных мероприятий</w:t>
            </w:r>
          </w:p>
        </w:tc>
        <w:tc>
          <w:tcPr>
            <w:tcW w:w="2268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и время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выхода в эфир иных агитационных материалов</w:t>
            </w:r>
          </w:p>
        </w:tc>
        <w:tc>
          <w:tcPr>
            <w:tcW w:w="4196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представителя кандидата, участвовавшего в жеребьевке (члена ИК с правом решающего голоса)</w:t>
            </w:r>
          </w:p>
        </w:tc>
        <w:tc>
          <w:tcPr>
            <w:tcW w:w="3969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зарегистрированного кандидата (его представителя), участвовавшего в жеребьевке (члена ИК с правом решающего голоса), и дата подписания</w:t>
            </w:r>
          </w:p>
        </w:tc>
      </w:tr>
      <w:tr w:rsidR="009F0BC7" w:rsidRPr="009F0BC7" w:rsidTr="0053408E">
        <w:tc>
          <w:tcPr>
            <w:tcW w:w="567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6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325"/>
        <w:gridCol w:w="2268"/>
        <w:gridCol w:w="4196"/>
        <w:gridCol w:w="3969"/>
      </w:tblGrid>
      <w:tr w:rsidR="009F0BC7" w:rsidRPr="009F0BC7" w:rsidTr="0053408E">
        <w:tc>
          <w:tcPr>
            <w:tcW w:w="567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871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избирательног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объединения</w:t>
            </w:r>
          </w:p>
        </w:tc>
        <w:tc>
          <w:tcPr>
            <w:tcW w:w="2325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Даты и время выхода в эфир совместных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агитационных мероприятий</w:t>
            </w:r>
          </w:p>
        </w:tc>
        <w:tc>
          <w:tcPr>
            <w:tcW w:w="2268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Даты и время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выхода в эфир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иных агитационных материалов</w:t>
            </w:r>
          </w:p>
        </w:tc>
        <w:tc>
          <w:tcPr>
            <w:tcW w:w="4196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Фамилия, инициалы представителя избирательного объединения, участвовавшего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жеребьевке (члена ИК с правом решающего голоса)</w:t>
            </w:r>
          </w:p>
        </w:tc>
        <w:tc>
          <w:tcPr>
            <w:tcW w:w="3969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 представителя избирательного объединения, участвовавшего в жеребьевке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(члена ИК с правом решающего голоса), и дата подписания</w:t>
            </w:r>
          </w:p>
        </w:tc>
      </w:tr>
      <w:tr w:rsidR="009F0BC7" w:rsidRPr="009F0BC7" w:rsidTr="0053408E">
        <w:tc>
          <w:tcPr>
            <w:tcW w:w="567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6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организации телерадиовещания 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избирательной комиссии </w:t>
      </w:r>
    </w:p>
    <w:p w:rsidR="009F0BC7" w:rsidRPr="009F0BC7" w:rsidRDefault="009F0BC7" w:rsidP="009F0BC7">
      <w:pPr>
        <w:spacing w:after="255" w:line="240" w:lineRule="auto"/>
        <w:ind w:left="637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Калтанского городского округа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5"/>
        <w:gridCol w:w="567"/>
        <w:gridCol w:w="1418"/>
        <w:gridCol w:w="1588"/>
        <w:gridCol w:w="1418"/>
        <w:gridCol w:w="567"/>
        <w:gridCol w:w="2835"/>
        <w:gridCol w:w="567"/>
        <w:gridCol w:w="1418"/>
      </w:tblGrid>
      <w:tr w:rsidR="009F0BC7" w:rsidRPr="009F0BC7" w:rsidTr="0053408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BC7" w:rsidRPr="009F0BC7" w:rsidTr="005340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</w:tr>
    </w:tbl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проведения жеребьевок по распределению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зарегистрированными кандидатами эфирного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на каналах муниципальной организации,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осуществляющей телевещание,</w:t>
      </w: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проведении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выборов депутатов Совета народных депутатов 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Калтанского городского округа шестого созыва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Pr="009F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согласования дат и времени участия в совместных агитационных мероприятиях зарегистрированных кандидатов, избирательных объединений, зарегистрировавших списки кандидатов в депутаты Совета народных депутатов Калтанского городского округа шестого созыва на каналах муниципальных организаций телевещания</w:t>
      </w:r>
    </w:p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196"/>
        <w:gridCol w:w="2410"/>
        <w:gridCol w:w="4252"/>
        <w:gridCol w:w="3544"/>
      </w:tblGrid>
      <w:tr w:rsidR="009F0BC7" w:rsidRPr="009F0BC7" w:rsidTr="0053408E">
        <w:tc>
          <w:tcPr>
            <w:tcW w:w="510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196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зарегистриро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ванного кандидата (фамилии указываются в алфавитном порядке)</w:t>
            </w:r>
          </w:p>
        </w:tc>
        <w:tc>
          <w:tcPr>
            <w:tcW w:w="2410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и время выхода в эфир совместных агитационных мероприятий</w:t>
            </w:r>
          </w:p>
        </w:tc>
        <w:tc>
          <w:tcPr>
            <w:tcW w:w="4252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зарегистриро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ванного кандидата (его представителя), давшего согласие на обмен датами и временем участия в совместных  агитационных мероприятиях</w:t>
            </w:r>
          </w:p>
        </w:tc>
        <w:tc>
          <w:tcPr>
            <w:tcW w:w="3544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зарегистриро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ванного кандидата, его представителя, давшего согласие на обмен датами и временем участия в совместных агитационных мероприятиях, и дата подписания</w:t>
            </w:r>
          </w:p>
        </w:tc>
      </w:tr>
      <w:tr w:rsidR="009F0BC7" w:rsidRPr="009F0BC7" w:rsidTr="0053408E">
        <w:trPr>
          <w:trHeight w:val="400"/>
        </w:trPr>
        <w:tc>
          <w:tcPr>
            <w:tcW w:w="510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6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0BC7" w:rsidRPr="009F0BC7" w:rsidRDefault="009F0BC7" w:rsidP="009F0BC7">
      <w:pPr>
        <w:spacing w:after="25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196"/>
        <w:gridCol w:w="2410"/>
        <w:gridCol w:w="4252"/>
        <w:gridCol w:w="3544"/>
      </w:tblGrid>
      <w:tr w:rsidR="009F0BC7" w:rsidRPr="009F0BC7" w:rsidTr="0053408E">
        <w:tc>
          <w:tcPr>
            <w:tcW w:w="510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196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избирательного объединения</w:t>
            </w:r>
          </w:p>
        </w:tc>
        <w:tc>
          <w:tcPr>
            <w:tcW w:w="2410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и время выхода в эфир совместных агитационных мероприятий</w:t>
            </w:r>
          </w:p>
        </w:tc>
        <w:tc>
          <w:tcPr>
            <w:tcW w:w="4252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инициалы представителя избирательного объединения, давшего согласие на обмен датами и временем участия в совместных  агитационных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3544" w:type="dxa"/>
            <w:vAlign w:val="center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 представителя избирательного объединения, давшего согласие на обмен датами и 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временем участия в совместных агитационных мероприятиях, и дата подписания</w:t>
            </w:r>
          </w:p>
        </w:tc>
      </w:tr>
      <w:tr w:rsidR="009F0BC7" w:rsidRPr="009F0BC7" w:rsidTr="0053408E">
        <w:trPr>
          <w:trHeight w:val="400"/>
        </w:trPr>
        <w:tc>
          <w:tcPr>
            <w:tcW w:w="510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6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Представители организации телерадиовещания 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избирательной комиссии </w:t>
      </w:r>
    </w:p>
    <w:p w:rsidR="009F0BC7" w:rsidRPr="009F0BC7" w:rsidRDefault="009F0BC7" w:rsidP="009F0BC7">
      <w:pPr>
        <w:tabs>
          <w:tab w:val="left" w:pos="9150"/>
        </w:tabs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BC7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5"/>
        <w:gridCol w:w="567"/>
        <w:gridCol w:w="1418"/>
        <w:gridCol w:w="1588"/>
        <w:gridCol w:w="1418"/>
        <w:gridCol w:w="567"/>
        <w:gridCol w:w="2835"/>
        <w:gridCol w:w="567"/>
        <w:gridCol w:w="1418"/>
      </w:tblGrid>
      <w:tr w:rsidR="009F0BC7" w:rsidRPr="009F0BC7" w:rsidTr="0053408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BC7" w:rsidRPr="009F0BC7" w:rsidTr="005340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0BC7" w:rsidRPr="009F0BC7" w:rsidRDefault="009F0BC7" w:rsidP="009F0BC7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9F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дата)</w:t>
            </w:r>
          </w:p>
        </w:tc>
      </w:tr>
    </w:tbl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Pr="009F0BC7" w:rsidRDefault="009F0BC7" w:rsidP="009F0BC7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BC7" w:rsidRDefault="009F0BC7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9C8" w:rsidRDefault="00CE79C8" w:rsidP="001A3187">
      <w:pPr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32E" w:rsidRDefault="00CC232E" w:rsidP="001A3187">
      <w:pPr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C232E" w:rsidSect="009F0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7413"/>
    <w:multiLevelType w:val="hybridMultilevel"/>
    <w:tmpl w:val="2EA263F4"/>
    <w:lvl w:ilvl="0" w:tplc="63D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8"/>
    <w:rsid w:val="000A1827"/>
    <w:rsid w:val="000A64FA"/>
    <w:rsid w:val="00111E2E"/>
    <w:rsid w:val="001A3187"/>
    <w:rsid w:val="00320FF8"/>
    <w:rsid w:val="003B5874"/>
    <w:rsid w:val="004A6A8B"/>
    <w:rsid w:val="00506904"/>
    <w:rsid w:val="0064370B"/>
    <w:rsid w:val="00813A6F"/>
    <w:rsid w:val="008441A6"/>
    <w:rsid w:val="00854521"/>
    <w:rsid w:val="00921DDB"/>
    <w:rsid w:val="009B2DD8"/>
    <w:rsid w:val="009F0BC7"/>
    <w:rsid w:val="00B67C92"/>
    <w:rsid w:val="00B8278F"/>
    <w:rsid w:val="00CC232E"/>
    <w:rsid w:val="00CE79C8"/>
    <w:rsid w:val="00DC7204"/>
    <w:rsid w:val="00E06A11"/>
    <w:rsid w:val="00E071A7"/>
    <w:rsid w:val="00E97618"/>
    <w:rsid w:val="00EE69A7"/>
    <w:rsid w:val="00F926D0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31A9"/>
  <w15:docId w15:val="{FC44A2A4-B8C6-468E-8B82-AF0438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FF8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FF8"/>
  </w:style>
  <w:style w:type="character" w:customStyle="1" w:styleId="80">
    <w:name w:val="Заголовок 8 Знак"/>
    <w:basedOn w:val="a0"/>
    <w:link w:val="8"/>
    <w:uiPriority w:val="9"/>
    <w:semiHidden/>
    <w:rsid w:val="00320F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76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117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13117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31170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0DFB-A227-4431-87C3-B5ECDEC4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8</cp:revision>
  <cp:lastPrinted>2021-08-10T03:44:00Z</cp:lastPrinted>
  <dcterms:created xsi:type="dcterms:W3CDTF">2021-08-09T08:42:00Z</dcterms:created>
  <dcterms:modified xsi:type="dcterms:W3CDTF">2021-08-10T07:17:00Z</dcterms:modified>
</cp:coreProperties>
</file>